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4：</w:t>
      </w:r>
    </w:p>
    <w:p>
      <w:pPr>
        <w:jc w:val="center"/>
        <w:outlineLvl w:val="0"/>
        <w:rPr>
          <w:rFonts w:hint="eastAsia" w:ascii="华文中宋" w:hAnsi="华文中宋" w:eastAsia="华文中宋" w:cs="华文中宋"/>
          <w:b/>
          <w:bCs/>
          <w:sz w:val="44"/>
          <w:szCs w:val="44"/>
        </w:rPr>
      </w:pPr>
      <w:r>
        <w:rPr>
          <w:rFonts w:hint="eastAsia" w:ascii="华文中宋" w:hAnsi="华文中宋" w:eastAsia="华文中宋" w:cs="华文中宋"/>
          <w:b/>
          <w:bCs/>
          <w:sz w:val="44"/>
          <w:szCs w:val="44"/>
        </w:rPr>
        <w:t>失业保险一次</w:t>
      </w:r>
      <w:bookmarkStart w:id="0" w:name="_GoBack"/>
      <w:bookmarkEnd w:id="0"/>
      <w:r>
        <w:rPr>
          <w:rFonts w:hint="eastAsia" w:ascii="华文中宋" w:hAnsi="华文中宋" w:eastAsia="华文中宋" w:cs="华文中宋"/>
          <w:b/>
          <w:bCs/>
          <w:sz w:val="44"/>
          <w:szCs w:val="44"/>
        </w:rPr>
        <w:t>性扩岗补助（劳务派遣单位）操作手册</w:t>
      </w:r>
    </w:p>
    <w:p>
      <w:pPr>
        <w:jc w:val="center"/>
        <w:outlineLvl w:val="0"/>
        <w:rPr>
          <w:rFonts w:hint="eastAsia" w:ascii="华文中宋" w:hAnsi="华文中宋" w:eastAsia="华文中宋" w:cs="华文中宋"/>
          <w:b/>
          <w:bCs/>
          <w:sz w:val="32"/>
          <w:szCs w:val="32"/>
        </w:rPr>
      </w:pPr>
      <w:r>
        <w:rPr>
          <w:rFonts w:hint="eastAsia" w:ascii="华文中宋" w:hAnsi="华文中宋" w:eastAsia="华文中宋" w:cs="华文中宋"/>
          <w:b/>
          <w:bCs/>
          <w:sz w:val="32"/>
          <w:szCs w:val="32"/>
        </w:rPr>
        <w:t>（2024、2025年度）</w:t>
      </w:r>
    </w:p>
    <w:p>
      <w:pPr>
        <w:ind w:firstLine="420" w:firstLineChars="200"/>
        <w:rPr>
          <w:rFonts w:hint="eastAsia" w:ascii="仿宋" w:hAnsi="仿宋" w:eastAsia="仿宋" w:cs="仿宋"/>
          <w:sz w:val="21"/>
          <w:szCs w:val="21"/>
        </w:rPr>
      </w:pPr>
      <w:r>
        <w:rPr>
          <w:rFonts w:hint="eastAsia" w:ascii="仿宋" w:hAnsi="仿宋" w:eastAsia="仿宋" w:cs="仿宋"/>
          <w:kern w:val="2"/>
          <w:sz w:val="21"/>
          <w:szCs w:val="21"/>
        </w:rPr>
        <w:t>一、</w:t>
      </w:r>
      <w:r>
        <w:rPr>
          <w:rFonts w:hint="eastAsia" w:ascii="仿宋" w:hAnsi="仿宋" w:eastAsia="仿宋" w:cs="仿宋"/>
          <w:sz w:val="21"/>
          <w:szCs w:val="21"/>
        </w:rPr>
        <w:t>操作流程</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根据《河南省人力资源和社会保障厅 河南省教育厅 河南省财政厅关于做好高校毕业生等青年就业创业工作的通知》（豫人社办〔2024〕54号）、参照《河南省人力资源和社会保障厅关于劳务派遣单位享受失业保险稳岗返还政策有关具体问题的通知》（豫人社办〔2024〕65号）要求，劳务派遣企业申请失业保险一次性扩岗补助操作流程如下：</w:t>
      </w:r>
    </w:p>
    <w:p>
      <w:pPr>
        <w:ind w:left="420"/>
        <w:rPr>
          <w:rFonts w:hint="eastAsia" w:ascii="仿宋" w:hAnsi="仿宋" w:eastAsia="仿宋" w:cs="仿宋"/>
        </w:rPr>
      </w:pPr>
      <w:r>
        <w:rPr>
          <w:rFonts w:hint="eastAsia"/>
          <w:sz w:val="21"/>
        </w:rPr>
        <w:pict>
          <v:group id="组合 78" o:spid="_x0000_s2064" o:spt="203" style="position:absolute;left:0pt;margin-left:129.5pt;margin-top:4.3pt;height:326pt;width:276.8pt;z-index:-251657216;mso-width-relative:page;mso-height-relative:page;" coordorigin="6268,2712" coordsize="5536,6520" o:gfxdata="UEsDBAoAAAAAAIdO4kAAAAAAAAAAAAAAAAAEAAAAZHJzL1BLAwQUAAAACACHTuJAvQGVWtkAAAAJ&#10;AQAADwAAAGRycy9kb3ducmV2LnhtbE2PUUvDMBSF3wX/Q7iCby5JZaHWpkOG+jQEN0F8y5q7tqxJ&#10;SpO127/3+uTezuVczvlOuTq7nk04xi54DXIhgKGvg+18o+Fr9/aQA4vJeGv64FHDBSOsqtub0hQ2&#10;zP4Tp21qGIX4WBgNbUpDwXmsW3QmLsKAnrxDGJ1JdI4Nt6OZKdz1PBNCcWc6Tw2tGXDdYn3cnpyG&#10;99nML4/yddocD+vLz2758b2RqPX9nRTPwBKe0/8z/OETOlTEtA8nbyPrNWTLJ9qSNOQKGPm5zEjs&#10;NSglFPCq5NcLql9QSwMEFAAAAAgAh07iQMi1P3ZHBgAA6CcAAA4AAABkcnMvZTJvRG9jLnhtbO1a&#10;W2/cRBh9R+I/WH6nu/ba3ouyqULSVEgVjRQuz7O+7FrYM2Y8yW54AoQoCAl4QkhFSCBAPBR4KU8I&#10;+mty4V9wZsb23pw0TZVWpd6HZDwznvF8Pt/xN+ebjZuzNDEOQ57HjA5N60bbNELqsyCm46H59lu7&#10;r/VMIxeEBiRhNByaR2Fu3tx89ZWNaTYIbTZhSRByA4PQfDDNhuZEiGzQauX+JExJfoNlIUVjxHhK&#10;BC75uBVwMsXoadKy222vNWU8yDjzwzxH7Y5uNIsR+WUGZFEU++EO8w/SkAo9Kg8TIrCkfBJnubmp&#10;njaKQl/cjaI8FEYyNLFSof5iEpRH8m9rc4MMxpxkk9gvHoFc5hFW1pSSmGLSaqgdIohxwOO1odLY&#10;5yxnkbjhs7SlF6IsglVY7RXb3ObsIFNrGQ+m46wyOl7UitWvPKz/5uEeN+JgaHbx3ilJ8cZP//rk&#10;+OvPDFTAOtNsPECn2zzbz/Z4UTHWV3LBs4in8j+WYsyUXY8qu4YzYfio7LiW2/Fgch9tjuW0gQNt&#10;eX+C1yPv82wP86PZ7lp22XaruN/F3fpmz7XVna1y4pZ8vupxphkwmc8NlT+dofYnJAuV/XNpg9JQ&#10;bmmok2/unXz34OSHT42uq22l+klDGWL2OsO6rLI+R2WNvap1ey4MpNBYWs12MWphsuVFk0HGc3E7&#10;ZKkhC0OTA+cKfuTwTi4wCuxTdpGT5iyJg904SdQFH4+2E24cEvjErvrJiXHLUreEGlO8l47bViNT&#10;Ju/X/RKK7tLWelGyJGajGRplccSCIxiAM+1seebvxnjKOyQXe4TDuwAE8I+4iz9RwjAJK0qmMWH8&#10;g7p62R/vEq2mMYW3Ds38/QPCQ9NI3qB4y33LcaR7qwvH7QIlBl9sGS220IN0m2HxFpgu81VR9hdJ&#10;WYw4S98FTW3JWdFEqI+5h6Yoi9tCcwhozg+3tlQnOHRGxB26n/lyaGlqyrYOBIti9UrmtimsB6Rq&#10;i10/ZJ0ayDolNAHtJ4FsH+ZVrur2OoWrlpC1+u2Ohmyv0ylAVRJEiccGsg1klyKAepa1wfj6czRn&#10;WdQVHPOEkPXsArLzr0sJWbvTg3OoDxP6aH57fpBdYmDpMRVRjxLiv1c830IvsHbDxi8YGzvgyFVo&#10;o+7K0IanIHDqOPhSYwwyWId2V3tOFTXNo4Nnx8YLoNXTN9A2jf9boOHUxMaouyq0JTXLLYOzGmjM&#10;Wdtq99RXocF2E0RXG+Rr2fc5NREJ6q6K7a6mbbfXVvvsWtrW28oG2g20rxna3ZqIpPu00O62bbXH&#10;rIO21Wmw3Wgfz0Kucypdc76RRN3VaLvvSGUJIUnXAn+fE21b+Mm2hrcb3r5m3u6XvH16/+HJlz+f&#10;/v7b8U8Pzx59L8sPfjGc/gLOt6lWoCEqzKiS/KXGEgdQqUsZjwZlk9yjqiatPEvtEpqLHkJenCNn&#10;dx1Ph+wdC7H7kn8UKovtPSZczwUn8XgithmlkLUZ11LqOcp2JUtLHUQK1rbrILlg+FIjjpASQjHN&#10;AujFdAzxNhkj5+ULrtTZpR1pvqiKt9Wv8OGlblKT2SH5RKvnqkkvU5A4uUUDQxxlSKEQztm0uL9G&#10;n9ESuaQIactnpwNDIShzPLV40QrC0stGVqDCSwWKGrxg43c1vOi0j7PGp6iXqpztNngpUirPAS/V&#10;dv7s42+P//5xzizu4qZ+nVnkXuk8ZkGseVmk6CSS9Gj8oJYkcfZOmVspEo5dW37gARSv115lHAcJ&#10;Hokh9aznf41HSCJXbGNflEdr2IYHdYnqegkfnluwzRp6FrfNF6BHiaLYPix8l/CyL4seqYUWKOl5&#10;Mv0sUWL1V+I2q+8inSVh0u89Js3aACW7FmUFblro4X9+dPrrF8f3/xkYx1/98e+Hn589uocKw1tV&#10;x0GFF0Qhnt3XGcqep3M6dTvQIt9+Pi3I3PT2hHCxlYiQUyLCPX1q5SKGWAoW6mIKCUqSZBOiI4gS&#10;cUVXtWlYGuN5RjWwTU3w8nKk+mWQWOT9X7D0UrdKL63SLloKx6li+aXwruTW9fAODqhpV42gotZq&#10;iFVHXP5oL5Bwv4OjPWrzjGM8OmouU1Weh0hDcrDVx1EfGeiUB3zWUlUvIQmrQ044AKbMUhxWkyfM&#10;Fq9RXjygt/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AAAAAGRycy9QSwECFAAUAAAACACHTuJAvQGVWtkAAAAJAQAADwAAAAAAAAABACAA&#10;AAAiAAAAZHJzL2Rvd25yZXYueG1sUEsBAhQAFAAAAAgAh07iQMi1P3ZHBgAA6CcAAA4AAAAAAAAA&#10;AQAgAAAAKAEAAGRycy9lMm9Eb2MueG1sUEsFBgAAAAAGAAYAWQEAAOEJAAAAAA==&#10;">
            <o:lock v:ext="edit" aspectratio="f"/>
            <v:shape id="文本框 75" o:spid="_x0000_s2050" o:spt="202" type="#_x0000_t202" style="position:absolute;left:6268;top:6560;height:410;width:2575;" fillcolor="#FFFFFF" filled="t" stroked="f" coordsize="21600,21600" o:gfxdata="UEsDBAoAAAAAAIdO4kAAAAAAAAAAAAAAAAAEAAAAZHJzL1BLAwQUAAAACACHTuJAthjsjrsAAADb&#10;AAAADwAAAGRycy9kb3ducmV2LnhtbEWPS2vDMBCE74X8B7GB3mrZpU2CEyWHQKGnQl4+L9ZGMrFW&#10;RlLz+vVVoJDjMDPfMIvV1fXiTCF2nhVURQmCuPW6Y6Ngv/t6m4GICVlj75kU3CjCajl6WWCt/YU3&#10;dN4mIzKEY40KbEpDLWVsLTmMhR+Is3f0wWHKMhipA14y3PXyvSwn0mHHecHiQGtL7Wn76xQ0xt2b&#10;QzUEq13/wT/3227vO6Vex1U5B5Homp7h//a3VjD9h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jsjrsAAADb&#10;AAAADwAAAAAAAAABACAAAAAiAAAAZHJzL2Rvd25yZXYueG1sUEsBAhQAFAAAAAgAh07iQDMvBZ47&#10;AAAAOQAAABAAAAAAAAAAAQAgAAAACgEAAGRycy9zaGFwZXhtbC54bWxQSwUGAAAAAAYABgBbAQAA&#10;tAMAAAAA&#10;">
              <v:path/>
              <v:fill on="t" color2="#FFFFFF" focussize="0,0"/>
              <v:stroke on="f" weight="0.5pt"/>
              <v:imagedata o:title=""/>
              <o:lock v:ext="edit" aspectratio="f"/>
              <v:textbox>
                <w:txbxContent>
                  <w:p>
                    <w:pPr>
                      <w:jc w:val="center"/>
                      <w:rPr>
                        <w:rFonts w:eastAsiaTheme="minorEastAsia"/>
                      </w:rPr>
                    </w:pPr>
                    <w:r>
                      <w:rPr>
                        <w:rFonts w:hint="eastAsia"/>
                        <w:sz w:val="18"/>
                        <w:szCs w:val="18"/>
                      </w:rPr>
                      <w:t>向实际用工单位拨付成功</w:t>
                    </w:r>
                  </w:p>
                </w:txbxContent>
              </v:textbox>
            </v:shape>
            <v:shape id="文本框 74" o:spid="_x0000_s2051" o:spt="202" type="#_x0000_t202" style="position:absolute;left:9572;top:5832;height:833;width:1903;" fillcolor="#FFFFFF" filled="t" stroked="f" coordsize="21600,21600" o:gfxdata="UEsDBAoAAAAAAIdO4kAAAAAAAAAAAAAAAAAEAAAAZHJzL1BLAwQUAAAACACHTuJA2VRJFbwAAADb&#10;AAAADwAAAGRycy9kb3ducmV2LnhtbEWPzWrDMBCE74G+g9hCb7HsEprgWvYhUOip0Pz4vFhby8Ra&#10;GUm1kzx9VSj0OMzMN0zVXO0oZvJhcKygyHIQxJ3TA/cKTse39Q5EiMgaR8ek4EYBmvphVWGp3cKf&#10;NB9iLxKEQ4kKTIxTKWXoDFkMmZuIk/flvMWYpO+l9rgkuB3lc56/SIsDpwWDE+0NdZfDt1XQ9vbe&#10;novJG23HDX/cb8eTG5R6eizyVxCRrvE//Nd+1wq2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USRW8AAAA&#10;2wAAAA8AAAAAAAAAAQAgAAAAIgAAAGRycy9kb3ducmV2LnhtbFBLAQIUABQAAAAIAIdO4kAzLwWe&#10;OwAAADkAAAAQAAAAAAAAAAEAIAAAAAsBAABkcnMvc2hhcGV4bWwueG1sUEsFBgAAAAAGAAYAWwEA&#10;ALUDAAAAAA==&#10;">
              <v:path/>
              <v:fill on="t" color2="#FFFFFF" focussize="0,0"/>
              <v:stroke on="f" weight="0.5pt"/>
              <v:imagedata o:title=""/>
              <o:lock v:ext="edit" aspectratio="f"/>
              <v:textbox>
                <w:txbxContent>
                  <w:p>
                    <w:pPr>
                      <w:jc w:val="center"/>
                      <w:rPr>
                        <w:rFonts w:eastAsiaTheme="minorEastAsia"/>
                      </w:rPr>
                    </w:pPr>
                    <w:r>
                      <w:rPr>
                        <w:rFonts w:hint="eastAsia"/>
                        <w:sz w:val="18"/>
                        <w:szCs w:val="18"/>
                      </w:rPr>
                      <w:t>向实际用工单位拨付失败</w:t>
                    </w:r>
                  </w:p>
                </w:txbxContent>
              </v:textbox>
            </v:shape>
            <v:shape id="文本框 26" o:spid="_x0000_s2052" o:spt="202" type="#_x0000_t202" style="position:absolute;left:6272;top:2712;height:472;width:2384;" fillcolor="#FFFFFF"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path/>
              <v:fill on="t" color2="#FFFFFF" focussize="0,0"/>
              <v:stroke weight="0.5pt" color="#000000" joinstyle="round"/>
              <v:imagedata o:title=""/>
              <o:lock v:ext="edit" aspectratio="f"/>
              <v:textbox>
                <w:txbxContent>
                  <w:p>
                    <w:pPr>
                      <w:jc w:val="center"/>
                      <w:rPr>
                        <w:rFonts w:eastAsiaTheme="minorEastAsia"/>
                        <w:sz w:val="18"/>
                        <w:szCs w:val="18"/>
                      </w:rPr>
                    </w:pPr>
                    <w:r>
                      <w:rPr>
                        <w:rFonts w:hint="eastAsia"/>
                        <w:sz w:val="18"/>
                        <w:szCs w:val="18"/>
                      </w:rPr>
                      <w:t>1登录单位网厅</w:t>
                    </w:r>
                  </w:p>
                </w:txbxContent>
              </v:textbox>
            </v:shape>
            <v:shape id="文本框 43" o:spid="_x0000_s2053" o:spt="202" type="#_x0000_t202" style="position:absolute;left:6276;top:3450;height:726;width:2384;" fillcolor="#FFFFFF"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path/>
              <v:fill on="t" color2="#FFFFFF" focussize="0,0"/>
              <v:stroke weight="0.5pt" color="#000000" joinstyle="round"/>
              <v:imagedata o:title=""/>
              <o:lock v:ext="edit" aspectratio="f"/>
              <v:textbox>
                <w:txbxContent>
                  <w:p>
                    <w:pPr>
                      <w:jc w:val="center"/>
                      <w:rPr>
                        <w:rFonts w:eastAsiaTheme="minorEastAsia"/>
                        <w:sz w:val="18"/>
                        <w:szCs w:val="18"/>
                      </w:rPr>
                    </w:pPr>
                    <w:r>
                      <w:rPr>
                        <w:rFonts w:hint="eastAsia"/>
                        <w:sz w:val="18"/>
                        <w:szCs w:val="18"/>
                      </w:rPr>
                      <w:t>2劳务派遣单位提交申请并上传申报材料</w:t>
                    </w:r>
                  </w:p>
                </w:txbxContent>
              </v:textbox>
            </v:shape>
            <v:shape id="文本框 45" o:spid="_x0000_s2054" o:spt="202" type="#_x0000_t202" style="position:absolute;left:6284;top:4432;height:1086;width:2384;" fillcolor="#FFFFFF" filled="t" stroked="t" coordsize="21600,21600"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v:path/>
              <v:fill on="t" color2="#FFFFFF" focussize="0,0"/>
              <v:stroke weight="0.5pt" color="#000000" joinstyle="round"/>
              <v:imagedata o:title=""/>
              <o:lock v:ext="edit" aspectratio="f"/>
              <v:textbox>
                <w:txbxContent>
                  <w:p>
                    <w:pPr>
                      <w:jc w:val="both"/>
                      <w:rPr>
                        <w:rFonts w:eastAsiaTheme="minorEastAsia"/>
                        <w:sz w:val="18"/>
                        <w:szCs w:val="18"/>
                      </w:rPr>
                    </w:pPr>
                    <w:r>
                      <w:rPr>
                        <w:rFonts w:hint="eastAsia"/>
                        <w:sz w:val="18"/>
                        <w:szCs w:val="18"/>
                      </w:rPr>
                      <w:t>3经办机构审核并向劳务派遣单位发放返还资金</w:t>
                    </w:r>
                  </w:p>
                </w:txbxContent>
              </v:textbox>
            </v:shape>
            <v:shape id="文本框 46" o:spid="_x0000_s2055" o:spt="202" type="#_x0000_t202" style="position:absolute;left:6276;top:5808;height:775;width:2384;" fillcolor="#FFFFFF" filled="t" stroked="t" coordsize="21600,21600" o:gfxdata="UEsDBAoAAAAAAIdO4kAAAAAAAAAAAAAAAAAEAAAAZHJzL1BLAwQUAAAACACHTuJAD+KQ1LcAAADb&#10;AAAADwAAAGRycy9kb3ducmV2LnhtbEWPzQrCMBCE74LvEFbwpqk/FKlGQUEQb2ov3pZmbYvNpiTR&#10;6tsbQfA4zMw3zGrzMo14kvO1ZQWTcQKCuLC65lJBftmPFiB8QNbYWCYFb/KwWfd7K8y07fhEz3Mo&#10;RYSwz1BBFUKbSemLigz6sW2Jo3ezzmCI0pVSO+wi3DRymiSpNFhzXKiwpV1Fxf38MAoO6TZcKddH&#10;PZvObJfLwt0ar9RwMEmWIAK9wj/8ax+0gnkK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4pDUtwAAANsAAAAP&#10;AAAAAAAAAAEAIAAAACIAAABkcnMvZG93bnJldi54bWxQSwECFAAUAAAACACHTuJAMy8FnjsAAAA5&#10;AAAAEAAAAAAAAAABACAAAAAGAQAAZHJzL3NoYXBleG1sLnhtbFBLBQYAAAAABgAGAFsBAACwAwAA&#10;AAA=&#10;">
              <v:path/>
              <v:fill on="t" color2="#FFFFFF" focussize="0,0"/>
              <v:stroke weight="0.5pt" color="#000000" joinstyle="round"/>
              <v:imagedata o:title=""/>
              <o:lock v:ext="edit" aspectratio="f"/>
              <v:textbox>
                <w:txbxContent>
                  <w:p>
                    <w:pPr>
                      <w:jc w:val="center"/>
                      <w:rPr>
                        <w:rFonts w:eastAsiaTheme="minorEastAsia"/>
                        <w:sz w:val="18"/>
                        <w:szCs w:val="18"/>
                      </w:rPr>
                    </w:pPr>
                    <w:r>
                      <w:rPr>
                        <w:rFonts w:hint="eastAsia"/>
                        <w:sz w:val="18"/>
                        <w:szCs w:val="18"/>
                      </w:rPr>
                      <w:t>4劳务派遣单位向用工单位拨付资金</w:t>
                    </w:r>
                  </w:p>
                </w:txbxContent>
              </v:textbox>
            </v:shape>
            <v:shape id="文本框 47" o:spid="_x0000_s2056" o:spt="202" type="#_x0000_t202" style="position:absolute;left:6276;top:7024;height:1375;width:2384;" fillcolor="#FFFFFF" filled="t" stroked="t" coordsize="21600,21600" o:gfxdata="UEsDBAoAAAAAAIdO4kAAAAAAAAAAAAAAAAAEAAAAZHJzL1BLAwQUAAAACACHTuJAYK41T7cAAADb&#10;AAAADwAAAGRycy9kb3ducmV2LnhtbEWPzQrCMBCE74LvEFbwpqk/qFSjoCCIN7UXb0uztsVmU5Jo&#10;9e2NIHgcZuYbZrV5mVo8yfnKsoLRMAFBnFtdcaEgu+wHCxA+IGusLZOCN3nYrLudFabatnyi5zkU&#10;IkLYp6igDKFJpfR5SQb90DbE0btZZzBE6QqpHbYRbmo5TpKZNFhxXCixoV1J+f38MAoOs224UqaP&#10;ejKe2DaTubvVXql+b5QsQQR6hX/41z5oBdM5fL/EH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rjVPtwAAANsAAAAP&#10;AAAAAAAAAAEAIAAAACIAAABkcnMvZG93bnJldi54bWxQSwECFAAUAAAACACHTuJAMy8FnjsAAAA5&#10;AAAAEAAAAAAAAAABACAAAAAGAQAAZHJzL3NoYXBleG1sLnhtbFBLBQYAAAAABgAGAFsBAACwAwAA&#10;AAA=&#10;">
              <v:path/>
              <v:fill on="t" color2="#FFFFFF" focussize="0,0"/>
              <v:stroke weight="0.5pt" color="#000000" joinstyle="round"/>
              <v:imagedata o:title=""/>
              <o:lock v:ext="edit" aspectratio="f"/>
              <v:textbox>
                <w:txbxContent>
                  <w:p>
                    <w:pPr>
                      <w:jc w:val="center"/>
                      <w:rPr>
                        <w:rFonts w:hint="eastAsia" w:asciiTheme="minorEastAsia" w:hAnsiTheme="minorEastAsia" w:eastAsiaTheme="minorEastAsia" w:cstheme="minorEastAsia"/>
                        <w:sz w:val="18"/>
                        <w:szCs w:val="18"/>
                      </w:rPr>
                    </w:pPr>
                    <w:r>
                      <w:rPr>
                        <w:rFonts w:hint="eastAsia" w:asciiTheme="minorEastAsia" w:hAnsiTheme="minorEastAsia" w:cstheme="minorEastAsia"/>
                        <w:sz w:val="18"/>
                        <w:szCs w:val="18"/>
                      </w:rPr>
                      <w:t>5劳务派遣单位向经办机构</w:t>
                    </w:r>
                    <w:r>
                      <w:rPr>
                        <w:rFonts w:hint="eastAsia" w:asciiTheme="minorEastAsia" w:hAnsiTheme="minorEastAsia" w:eastAsiaTheme="minorEastAsia" w:cstheme="minorEastAsia"/>
                        <w:sz w:val="18"/>
                        <w:szCs w:val="18"/>
                      </w:rPr>
                      <w:t>提交</w:t>
                    </w:r>
                    <w:r>
                      <w:rPr>
                        <w:rFonts w:hint="eastAsia" w:asciiTheme="minorEastAsia" w:hAnsiTheme="minorEastAsia" w:cstheme="minorEastAsia"/>
                        <w:sz w:val="18"/>
                        <w:szCs w:val="18"/>
                      </w:rPr>
                      <w:t>拨付至实际用工单位的相关凭证及</w:t>
                    </w:r>
                    <w:r>
                      <w:rPr>
                        <w:rFonts w:hint="eastAsia" w:asciiTheme="minorEastAsia" w:hAnsiTheme="minorEastAsia" w:eastAsiaTheme="minorEastAsia" w:cstheme="minorEastAsia"/>
                        <w:sz w:val="18"/>
                        <w:szCs w:val="18"/>
                      </w:rPr>
                      <w:t>用工管理佐证材料</w:t>
                    </w:r>
                  </w:p>
                </w:txbxContent>
              </v:textbox>
            </v:shape>
            <v:shape id="文本框 48" o:spid="_x0000_s2057" o:spt="202" type="#_x0000_t202" style="position:absolute;left:9420;top:7176;height:1111;width:2384;" fillcolor="#FFFFFF" filled="t" stroked="t" coordsize="21600,21600" o:gfxdata="UEsDBAoAAAAAAIdO4kAAAAAAAAAAAAAAAAAEAAAAZHJzL1BLAwQUAAAACACHTuJAETGhPbQAAADb&#10;AAAADwAAAGRycy9kb3ducmV2LnhtbEVPuwrCMBTdBf8hXMFNUx+IVNOCgiBuahe3S3Nti81NSaLV&#10;vzeD4Hg4723+Nq14kfONZQWzaQKCuLS64UpBcT1M1iB8QNbYWiYFH/KQZ8PBFlNtez7T6xIqEUPY&#10;p6igDqFLpfRlTQb91HbEkbtbZzBE6CqpHfYx3LRyniQrabDh2FBjR/uaysflaRQcV7two0Kf9GK+&#10;sH0hS3dvvVLj0SzZgAj0Dn/xz33UCpZxbP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MaE9tAAAANsAAAAPAAAA&#10;AAAAAAEAIAAAACIAAABkcnMvZG93bnJldi54bWxQSwECFAAUAAAACACHTuJAMy8FnjsAAAA5AAAA&#10;EAAAAAAAAAABACAAAAADAQAAZHJzL3NoYXBleG1sLnhtbFBLBQYAAAAABgAGAFsBAACtAwAAAAA=&#10;">
              <v:path/>
              <v:fill on="t" color2="#FFFFFF" focussize="0,0"/>
              <v:stroke weight="0.5pt" color="#000000" joinstyle="round"/>
              <v:imagedata o:title=""/>
              <o:lock v:ext="edit" aspectratio="f"/>
              <v:textbox>
                <w:txbxContent>
                  <w:p>
                    <w:pPr>
                      <w:jc w:val="center"/>
                      <w:rPr>
                        <w:rFonts w:hint="eastAsia" w:asciiTheme="minorEastAsia" w:hAnsiTheme="minorEastAsia" w:eastAsiaTheme="minorEastAsia" w:cstheme="minorEastAsia"/>
                        <w:sz w:val="21"/>
                        <w:szCs w:val="21"/>
                      </w:rPr>
                    </w:pPr>
                    <w:r>
                      <w:rPr>
                        <w:rFonts w:hint="eastAsia" w:asciiTheme="minorEastAsia" w:hAnsiTheme="minorEastAsia" w:cstheme="minorEastAsia"/>
                        <w:sz w:val="18"/>
                        <w:szCs w:val="18"/>
                      </w:rPr>
                      <w:t>6向经办机构退回无法拨付部分的返还资金并提交书面情况说明</w:t>
                    </w:r>
                  </w:p>
                </w:txbxContent>
              </v:textbox>
            </v:shape>
            <v:shape id="直接箭头连接符 49" o:spid="_x0000_s2058" o:spt="32" type="#_x0000_t32" style="position:absolute;left:7464;top:3184;height:266;width:4;" filled="f" stroked="t" coordsize="21600,21600" o:gfxdata="UEsDBAoAAAAAAIdO4kAAAAAAAAAAAAAAAAAEAAAAZHJzL1BLAwQUAAAACACHTuJA5mCEY7wAAADb&#10;AAAADwAAAGRycy9kb3ducmV2LnhtbEWPzYvCMBTE7wv+D+EJe1vTyiJajR4Ei7sHwQ9Eb4/m2Rab&#10;l5LEr//eCILHYeY3w0xmd9OIKzlfW1aQ9hIQxIXVNZcKdtvFzxCED8gaG8uk4EEeZtPO1wQzbW+8&#10;pusmlCKWsM9QQRVCm0npi4oM+p5tiaN3ss5giNKVUju8xXLTyH6SDKTBmuNChS3NKyrOm4tR8LvS&#10;+/z/iH8DuafFcu3ywyrNlfrupskYRKB7+ITf9FJHbgS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ghGO8AAAA&#10;2wAAAA8AAAAAAAAAAQAgAAAAIgAAAGRycy9kb3ducmV2LnhtbFBLAQIUABQAAAAIAIdO4kAzLwWe&#10;OwAAADkAAAAQAAAAAAAAAAEAIAAAAAsBAABkcnMvc2hhcGV4bWwueG1sUEsFBgAAAAAGAAYAWwEA&#10;ALUDAAAAAA==&#10;">
              <v:path arrowok="t"/>
              <v:fill on="f" focussize="0,0"/>
              <v:stroke weight="2pt" color="#000000" endarrow="open"/>
              <v:imagedata o:title=""/>
              <o:lock v:ext="edit" aspectratio="f"/>
            </v:shape>
            <v:shape id="直接箭头连接符 50" o:spid="_x0000_s2059" o:spt="32" type="#_x0000_t32" style="position:absolute;left:7468;top:4176;height:256;width:8;" filled="f" stroked="t" coordsize="21600,21600" o:gfxdata="UEsDBAoAAAAAAIdO4kAAAAAAAAAAAAAAAAAEAAAAZHJzL1BLAwQUAAAACACHTuJA8oO7I7oAAADb&#10;AAAADwAAAGRycy9kb3ducmV2LnhtbEVPTYvCMBC9C/6HMII3TSuuSNfYg2BRD4LuIu5taGbbss2k&#10;JNHqv98cBI+P973KH6YVd3K+sawgnSYgiEurG64UfH9tJ0sQPiBrbC2Tgid5yNfDwQozbXs+0f0c&#10;KhFD2GeooA6hy6T0ZU0G/dR2xJH7tc5giNBVUjvsY7hp5SxJFtJgw7Ghxo42NZV/55tRMD/qS3H4&#10;wf1CXmi7O7niekwLpcajNPkEEegR3uKXe6cVfMT18Uv8AXL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g7sjugAAANsA&#10;AAAPAAAAAAAAAAEAIAAAACIAAABkcnMvZG93bnJldi54bWxQSwECFAAUAAAACACHTuJAMy8FnjsA&#10;AAA5AAAAEAAAAAAAAAABACAAAAAJAQAAZHJzL3NoYXBleG1sLnhtbFBLBQYAAAAABgAGAFsBAACz&#10;AwAAAAA=&#10;">
              <v:path arrowok="t"/>
              <v:fill on="f" focussize="0,0"/>
              <v:stroke weight="2pt" color="#000000" endarrow="open"/>
              <v:imagedata o:title=""/>
              <o:lock v:ext="edit" aspectratio="f"/>
            </v:shape>
            <v:shape id="肘形连接符 55" o:spid="_x0000_s2060" o:spt="33" type="#_x0000_t33" style="position:absolute;left:7248;top:6804;flip:y;height:5;width:441;rotation:-5898240f;" filled="f" stroked="t" coordsize="21600,21600" o:gfxdata="UEsDBAoAAAAAAIdO4kAAAAAAAAAAAAAAAAAEAAAAZHJzL1BLAwQUAAAACACHTuJAmQpd5b0AAADb&#10;AAAADwAAAGRycy9kb3ducmV2LnhtbEWPwWrDMBBE74X+g9hCLyWRHZpQnCihFAq+NFA7hx4Xa2Ob&#10;WCvjVWL776tAocdhZt4wu8PkOnWjQVrPBtJlAoq48rbl2sCp/Fy8gZKAbLHzTAZmEjjsHx92mFk/&#10;8jfdilCrCGHJ0EATQp9pLVVDDmXpe+Lonf3gMEQ51NoOOEa46/QqSTbaYctxocGePhqqLsXVGVhp&#10;lFf8Ksr55X1zlVx8Go4/xjw/pckWVKAp/If/2rk1sF7D/Uv8AX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l3lvQAA&#10;ANsAAAAPAAAAAAAAAAEAIAAAACIAAABkcnMvZG93bnJldi54bWxQSwECFAAUAAAACACHTuJAMy8F&#10;njsAAAA5AAAAEAAAAAAAAAABACAAAAAMAQAAZHJzL3NoYXBleG1sLnhtbFBLBQYAAAAABgAGAFsB&#10;AAC2AwAAAAA=&#10;">
              <v:path arrowok="t"/>
              <v:fill on="f" focussize="0,0"/>
              <v:stroke weight="2pt" color="#000000" joinstyle="round" endarrow="open"/>
              <v:imagedata o:title=""/>
              <o:lock v:ext="edit" aspectratio="f"/>
            </v:shape>
            <v:shape id="肘形连接符 56" o:spid="_x0000_s2061" o:spt="33" type="#_x0000_t33" style="position:absolute;left:8660;top:6196;height:980;width:1952;" filled="f" stroked="t" coordsize="21600,21600" o:gfxdata="UEsDBAoAAAAAAIdO4kAAAAAAAAAAAAAAAAAEAAAAZHJzL1BLAwQUAAAACACHTuJAkT7ZYL4AAADb&#10;AAAADwAAAGRycy9kb3ducmV2LnhtbEWPQWvCQBSE7wX/w/IEb80mtmpJXXMQRC89qEHx9sg+k2D2&#10;bchuNfn3rlDocZiZb5hl1ptG3KlztWUFSRSDIC6srrlUkB83718gnEfW2FgmBQM5yFajtyWm2j54&#10;T/eDL0WAsEtRQeV9m0rpiooMusi2xMG72s6gD7Irpe7wEeCmkdM4nkuDNYeFCltaV1TcDr9GQZ33&#10;1+Hsfi63z4FO291s87HYNkpNxkn8DcJT7//Df+2dVjCbw+tL+AFy9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7ZYL4A&#10;AADbAAAADwAAAAAAAAABACAAAAAiAAAAZHJzL2Rvd25yZXYueG1sUEsBAhQAFAAAAAgAh07iQDMv&#10;BZ47AAAAOQAAABAAAAAAAAAAAQAgAAAADQEAAGRycy9zaGFwZXhtbC54bWxQSwUGAAAAAAYABgBb&#10;AQAAtwMAAAAA&#10;">
              <v:path arrowok="t"/>
              <v:fill on="f" focussize="0,0"/>
              <v:stroke weight="2pt" color="#000000" joinstyle="round" endarrow="open"/>
              <v:imagedata o:title=""/>
              <o:lock v:ext="edit" aspectratio="f"/>
            </v:shape>
            <v:shape id="流程图: 可选过程 63" o:spid="_x0000_s2062" o:spt="176" type="#_x0000_t176" style="position:absolute;left:6292;top:8672;height:560;width:2384;v-text-anchor:middle;" fillcolor="#000000" filled="t" stroked="t" coordsize="21600,21600" o:gfxdata="UEsDBAoAAAAAAIdO4kAAAAAAAAAAAAAAAAAEAAAAZHJzL1BLAwQUAAAACACHTuJAN9jsJLcAAADa&#10;AAAADwAAAGRycy9kb3ducmV2LnhtbEVP22rCQBB9L/gPyxR8Kc0mCkVS11ALBV9N+wHD7uSi2dmQ&#10;nRr7965Q8Gk4nOtsq6sf1IWm2Ac2UGQ5KGIbXM+tgZ/vr9cNqCjIDofAZOCPIlS7xdMWSxdmPtKl&#10;llalEI4lGuhExlLraDvyGLMwEieuCZNHSXBqtZtwTuF+0Ks8f9Mee04NHY702ZE917/egD8f9h+N&#10;xfVJwmY+We1q9yLGLJ+L/B2U0FUe4n/3waX5cH/lfvXu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32OwktwAAANoAAAAP&#10;AAAAAAAAAAEAIAAAACIAAABkcnMvZG93bnJldi54bWxQSwECFAAUAAAACACHTuJAMy8FnjsAAAA5&#10;AAAAEAAAAAAAAAABACAAAAAGAQAAZHJzL3NoYXBleG1sLnhtbFBLBQYAAAAABgAGAFsBAACwAwAA&#10;AAA=&#10;" adj="2700">
              <v:path/>
              <v:fill on="t" color2="#FFFFFF" opacity="0f" focussize="0,0"/>
              <v:stroke weight="2pt" color="#000000" joinstyle="round"/>
              <v:imagedata o:title=""/>
              <o:lock v:ext="edit" aspectratio="f"/>
              <v:textbox>
                <w:txbxContent>
                  <w:p>
                    <w:pPr>
                      <w:jc w:val="center"/>
                      <w:rPr>
                        <w:rFonts w:eastAsiaTheme="minorEastAsia"/>
                        <w:color w:val="000000" w:themeColor="text1"/>
                        <w:sz w:val="18"/>
                        <w:szCs w:val="18"/>
                      </w:rPr>
                    </w:pPr>
                    <w:r>
                      <w:rPr>
                        <w:rFonts w:hint="eastAsia"/>
                        <w:color w:val="000000" w:themeColor="text1"/>
                        <w:sz w:val="18"/>
                        <w:szCs w:val="18"/>
                      </w:rPr>
                      <w:t>结束</w:t>
                    </w:r>
                  </w:p>
                </w:txbxContent>
              </v:textbox>
            </v:shape>
            <v:shape id="肘形连接符 73" o:spid="_x0000_s2063" o:spt="33" type="#_x0000_t33" style="position:absolute;left:9312;top:7652;height:1936;width:665;rotation:5898240f;" filled="f" stroked="t" coordsize="21600,21600" o:gfxdata="UEsDBAoAAAAAAIdO4kAAAAAAAAAAAAAAAAAEAAAAZHJzL1BLAwQUAAAACACHTuJAS/SqfL4AAADb&#10;AAAADwAAAGRycy9kb3ducmV2LnhtbEWPQUsDMRSE74L/ITyhl2KTtmhlbdrDQsFDD9oKXp+b5+7q&#10;5mVJnrvtvzdCocdhZr5h1tuT79RAMbWBLcxnBhRxFVzLtYX34+7+CVQSZIddYLJwpgTbze3NGgsX&#10;Rn6j4SC1yhBOBVpoRPpC61Q15DHNQk+cva8QPUqWsdYu4pjhvtMLYx61x5bzQoM9lQ1VP4dfb0G+&#10;fbmPu8XH8Loap2b6WS4f5Gzt5G5unkEJneQavrRfnIXVEv6/5B+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qfL4A&#10;AADbAAAADwAAAAAAAAABACAAAAAiAAAAZHJzL2Rvd25yZXYueG1sUEsBAhQAFAAAAAgAh07iQDMv&#10;BZ47AAAAOQAAABAAAAAAAAAAAQAgAAAADQEAAGRycy9zaGFwZXhtbC54bWxQSwUGAAAAAAYABgBb&#10;AQAAtwMAAAAA&#10;">
              <v:path arrowok="t"/>
              <v:fill on="f" focussize="0,0"/>
              <v:stroke weight="2pt" color="#000000" joinstyle="round" endarrow="open"/>
              <v:imagedata o:title=""/>
              <o:lock v:ext="edit" aspectratio="f"/>
            </v:shape>
          </v:group>
        </w:pict>
      </w:r>
    </w:p>
    <w:p>
      <w:pPr>
        <w:rPr>
          <w:rFonts w:hint="eastAsia" w:ascii="仿宋" w:hAnsi="仿宋" w:eastAsia="仿宋" w:cs="仿宋"/>
        </w:rPr>
      </w:pPr>
      <w:r>
        <w:rPr>
          <w:rFonts w:hint="eastAsia" w:ascii="仿宋" w:hAnsi="仿宋" w:eastAsia="仿宋" w:cs="仿宋"/>
        </w:rPr>
        <w:t xml:space="preserve">    </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sz w:val="21"/>
        </w:rPr>
        <w:pict>
          <v:shape id="直接箭头连接符 51" o:spid="_x0000_s2065" o:spt="32" type="#_x0000_t32" style="position:absolute;left:0pt;flip:x;margin-left:189.45pt;margin-top:22.6pt;height:14.5pt;width:0.4pt;z-index:251660288;mso-width-relative:page;mso-height-relative:page;" filled="f" coordsize="21600,21600" o:gfxdata="UEsDBAoAAAAAAIdO4kAAAAAAAAAAAAAAAAAEAAAAZHJzL1BLAwQUAAAACACHTuJAxHHSEtUAAAAI&#10;AQAADwAAAGRycy9kb3ducmV2LnhtbE2PwU7DMBBE70j8g7VI3KjTEqCEOD2AOHJoQZV629hLEhGv&#10;o9ht2n492xPcdjSj2Xnl6uh7daAxdoENzGcZKGIbXMeNga/P97slqJiQHfaBycCJIqyq66sSCxcm&#10;XtNhkxolJRwLNNCmNBRaR9uSxzgLA7F432H0mESOjXYjTlLue73IskftsWP50OJAry3Zn83eGzi/&#10;nRdcb2mw2/XOnXK7yz+mB2Nub+bZC6hEx/QXhst8mQ6VbKrDnl1UvYH7p2dhSQaWOSjxRQtKfTly&#10;0FWp/wNUv1BLAwQUAAAACACHTuJArwermygCAAAkBAAADgAAAGRycy9lMm9Eb2MueG1srVPBjtMw&#10;EL0j8Q+W7zRp2uxWUdM9tCwcEKwEfIDrOIklx7bG3qb9CX4AiRNwYjntna+B5TMYO1HLLpc9kEMy&#10;znjezHt+Xl7sO0V2Apw0uqTTSUqJ0NxUUjclff/u8tmCEueZrpgyWpT0IBy9WD19suxtITLTGlUJ&#10;IAiiXdHbkrbe2yJJHG9Fx9zEWKExWRvomMclNEkFrEf0TiVZmp4lvYHKguHCOfy7GZJ0RITHAJq6&#10;llxsDL/uhPYDKgjFPFJyrbSOruK0dS24f1PXTniiSopMfXxjE4y34Z2slqxogNlW8nEE9pgRHnDq&#10;mNTY9Ai1YZ6Ra5D/QHWSg3Gm9hNuumQgEhVBFtP0gTZvW2ZF5IJSO3sU3f0/WP56dwVEViXNp5Ro&#10;1uGJ3328/fXhy933m5+fb3//+BTib18J5lGs3roCa9b6CgJd59d7HcvnOcXvvqTZoKnQ1TF1Nqai&#10;3Mk9iLBwdgDb19CRWkn7En0Z1UR9CELOzufn0xk2OGA8y+ZZlo9N9p5w3JCnCzxQjunpYj7Nhz6s&#10;CIBhSgvOvxCmIyEoqfPAZNP6tdEaDWJgaMZ2r5xHismpIBRrcymVij5RmvRIMJ+noRtD89doOgw7&#10;iwI63VDCVIO3inuI8zujZBXKo1bQbNcKyI4FL8YnsMB297aFGTfMtcO+mBrIeibVc10Rf7B4SAzA&#10;9GO90ghzUjJEW1MdriDAhxWaJzYajR7c+fc67jpd7t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HHSEtUAAAAIAQAADwAAAAAAAAABACAAAAAiAAAAZHJzL2Rvd25yZXYueG1sUEsBAhQAFAAAAAgA&#10;h07iQK8Hq5soAgAAJAQAAA4AAAAAAAAAAQAgAAAAJAEAAGRycy9lMm9Eb2MueG1sUEsFBgAAAAAG&#10;AAYAWQEAAL4FAAAAAA==&#10;">
            <v:path arrowok="t"/>
            <v:fill on="f" focussize="0,0"/>
            <v:stroke weight="2pt" endarrow="open"/>
            <v:imagedata o:title=""/>
            <o:lock v:ext="edit"/>
          </v:shape>
        </w:pict>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t xml:space="preserve">  </w:t>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sz w:val="21"/>
        </w:rPr>
        <w:pict>
          <v:shape id="_x0000_s3074" o:spid="_x0000_s3074" o:spt="32" type="#_x0000_t32" style="position:absolute;left:0pt;flip:x;margin-left:188.45pt;margin-top:20.3pt;height:14.5pt;width:0.4pt;z-index:251661312;mso-width-relative:page;mso-height-relative:page;" filled="f" coordsize="21600,21600" o:gfxdata="UEsDBAoAAAAAAIdO4kAAAAAAAAAAAAAAAAAEAAAAZHJzL1BLAwQUAAAACACHTuJAxHHSEtUAAAAI&#10;AQAADwAAAGRycy9kb3ducmV2LnhtbE2PwU7DMBBE70j8g7VI3KjTEqCEOD2AOHJoQZV629hLEhGv&#10;o9ht2n492xPcdjSj2Xnl6uh7daAxdoENzGcZKGIbXMeNga/P97slqJiQHfaBycCJIqyq66sSCxcm&#10;XtNhkxolJRwLNNCmNBRaR9uSxzgLA7F432H0mESOjXYjTlLue73IskftsWP50OJAry3Zn83eGzi/&#10;nRdcb2mw2/XOnXK7yz+mB2Nub+bZC6hEx/QXhst8mQ6VbKrDnl1UvYH7p2dhSQaWOSjxRQtKfTly&#10;0FWp/wNUv1BLAwQUAAAACACHTuJArwermygCAAAkBAAADgAAAGRycy9lMm9Eb2MueG1srVPBjtMw&#10;EL0j8Q+W7zRp2uxWUdM9tCwcEKwEfIDrOIklx7bG3qb9CX4AiRNwYjntna+B5TMYO1HLLpc9kEMy&#10;znjezHt+Xl7sO0V2Apw0uqTTSUqJ0NxUUjclff/u8tmCEueZrpgyWpT0IBy9WD19suxtITLTGlUJ&#10;IAiiXdHbkrbe2yJJHG9Fx9zEWKExWRvomMclNEkFrEf0TiVZmp4lvYHKguHCOfy7GZJ0RITHAJq6&#10;llxsDL/uhPYDKgjFPFJyrbSOruK0dS24f1PXTniiSopMfXxjE4y34Z2slqxogNlW8nEE9pgRHnDq&#10;mNTY9Ai1YZ6Ra5D/QHWSg3Gm9hNuumQgEhVBFtP0gTZvW2ZF5IJSO3sU3f0/WP56dwVEViXNp5Ro&#10;1uGJ3328/fXhy933m5+fb3//+BTib18J5lGs3roCa9b6CgJd59d7HcvnOcXvvqTZoKnQ1TF1Nqai&#10;3Mk9iLBwdgDb19CRWkn7En0Z1UR9CELOzufn0xk2OGA8y+ZZlo9N9p5w3JCnCzxQjunpYj7Nhz6s&#10;CIBhSgvOvxCmIyEoqfPAZNP6tdEaDWJgaMZ2r5xHismpIBRrcymVij5RmvRIMJ+noRtD89doOgw7&#10;iwI63VDCVIO3inuI8zujZBXKo1bQbNcKyI4FL8YnsMB297aFGTfMtcO+mBrIeibVc10Rf7B4SAzA&#10;9GO90ghzUjJEW1MdriDAhxWaJzYajR7c+fc67jpd7t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HHSEtUAAAAIAQAADwAAAAAAAAABACAAAAAiAAAAZHJzL2Rvd25yZXYueG1sUEsBAhQAFAAAAAgA&#10;h07iQK8Hq5soAgAAJAQAAA4AAAAAAAAAAQAgAAAAJAEAAGRycy9lMm9Eb2MueG1sUEsFBgAAAAAG&#10;AAYAWQEAAL4FAAAAAA==&#10;">
            <v:path arrowok="t"/>
            <v:fill on="f" focussize="0,0"/>
            <v:stroke weight="2pt" endarrow="open"/>
            <v:imagedata o:title=""/>
            <o:lock v:ext="edit"/>
          </v:shape>
        </w:pict>
      </w:r>
    </w:p>
    <w:p>
      <w:pPr>
        <w:rPr>
          <w:rFonts w:hint="eastAsia" w:ascii="仿宋" w:hAnsi="仿宋" w:eastAsia="仿宋" w:cs="仿宋"/>
        </w:rPr>
      </w:pPr>
    </w:p>
    <w:p>
      <w:pPr>
        <w:rPr>
          <w:rFonts w:hint="eastAsia" w:ascii="仿宋" w:hAnsi="仿宋" w:eastAsia="仿宋" w:cs="仿宋"/>
        </w:rPr>
      </w:pPr>
    </w:p>
    <w:p>
      <w:pPr>
        <w:ind w:firstLine="440" w:firstLineChars="200"/>
        <w:rPr>
          <w:rFonts w:hint="eastAsia" w:ascii="仿宋" w:hAnsi="仿宋" w:eastAsia="仿宋" w:cs="仿宋"/>
        </w:rPr>
      </w:pPr>
      <w:r>
        <w:rPr>
          <w:rFonts w:hint="eastAsia" w:ascii="仿宋" w:hAnsi="仿宋" w:eastAsia="仿宋" w:cs="仿宋"/>
        </w:rPr>
        <w:t>二、登录单位网厅</w:t>
      </w:r>
    </w:p>
    <w:p>
      <w:pPr>
        <w:pStyle w:val="3"/>
        <w:numPr>
          <w:ilvl w:val="1"/>
          <w:numId w:val="0"/>
        </w:numPr>
        <w:spacing w:before="0" w:after="0" w:line="240" w:lineRule="auto"/>
        <w:ind w:firstLine="420" w:firstLineChars="200"/>
        <w:jc w:val="left"/>
        <w:rPr>
          <w:rFonts w:hint="eastAsia" w:ascii="仿宋" w:hAnsi="仿宋" w:cs="仿宋"/>
          <w:b w:val="0"/>
          <w:bCs w:val="0"/>
          <w:sz w:val="21"/>
          <w:szCs w:val="24"/>
        </w:rPr>
      </w:pPr>
      <w:r>
        <w:rPr>
          <w:rFonts w:hint="eastAsia" w:ascii="仿宋" w:hAnsi="仿宋" w:cs="仿宋"/>
          <w:b w:val="0"/>
          <w:bCs w:val="0"/>
          <w:sz w:val="21"/>
          <w:szCs w:val="24"/>
        </w:rPr>
        <w:t>1.用户注册</w:t>
      </w:r>
    </w:p>
    <w:p>
      <w:pPr>
        <w:spacing w:before="156" w:after="156"/>
        <w:ind w:firstLine="440" w:firstLineChars="200"/>
        <w:rPr>
          <w:rFonts w:hint="eastAsia" w:ascii="仿宋" w:hAnsi="仿宋" w:eastAsia="仿宋" w:cs="仿宋"/>
        </w:rPr>
      </w:pPr>
      <w:r>
        <w:rPr>
          <w:rFonts w:hint="eastAsia" w:ascii="仿宋" w:hAnsi="仿宋" w:eastAsia="仿宋" w:cs="仿宋"/>
        </w:rPr>
        <w:t>（1）通过单位办事通道进入河南省社会保障服务大厅，首先点击“马上注册”链接，进行单位注册开通单位社保网上服务；</w:t>
      </w:r>
    </w:p>
    <w:p>
      <w:pPr>
        <w:spacing w:before="156" w:after="156"/>
      </w:pPr>
      <w:r>
        <w:drawing>
          <wp:inline distT="0" distB="0" distL="114300" distR="114300">
            <wp:extent cx="5256530" cy="2405380"/>
            <wp:effectExtent l="0" t="0" r="127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56530" cy="2405380"/>
                    </a:xfrm>
                    <a:prstGeom prst="rect">
                      <a:avLst/>
                    </a:prstGeom>
                    <a:noFill/>
                    <a:ln>
                      <a:noFill/>
                    </a:ln>
                  </pic:spPr>
                </pic:pic>
              </a:graphicData>
            </a:graphic>
          </wp:inline>
        </w:drawing>
      </w:r>
    </w:p>
    <w:p>
      <w:pPr>
        <w:spacing w:before="156" w:after="156"/>
        <w:ind w:firstLine="440" w:firstLineChars="200"/>
        <w:rPr>
          <w:rFonts w:hint="eastAsia" w:ascii="仿宋" w:hAnsi="仿宋" w:eastAsia="仿宋" w:cs="仿宋"/>
        </w:rPr>
      </w:pPr>
      <w:r>
        <w:rPr>
          <w:rFonts w:hint="eastAsia" w:ascii="仿宋" w:hAnsi="仿宋" w:eastAsia="仿宋" w:cs="仿宋"/>
        </w:rPr>
        <w:t>（2）填入对应注册信息，勾选“注册协议”，点击【开通单位网上服务】按钮，完成注册，到相关CA公司领取CA证书（如仅使用免数字证书方式登录，可不办理CA证书）。</w:t>
      </w:r>
    </w:p>
    <w:p>
      <w:pPr>
        <w:spacing w:before="156" w:after="156"/>
      </w:pPr>
      <w:r>
        <w:drawing>
          <wp:inline distT="0" distB="0" distL="114300" distR="114300">
            <wp:extent cx="5279390" cy="3039745"/>
            <wp:effectExtent l="0" t="0" r="8890"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5279390" cy="3039745"/>
                    </a:xfrm>
                    <a:prstGeom prst="rect">
                      <a:avLst/>
                    </a:prstGeom>
                    <a:noFill/>
                    <a:ln>
                      <a:noFill/>
                    </a:ln>
                  </pic:spPr>
                </pic:pic>
              </a:graphicData>
            </a:graphic>
          </wp:inline>
        </w:drawing>
      </w:r>
    </w:p>
    <w:p>
      <w:pPr>
        <w:ind w:firstLine="440" w:firstLineChars="200"/>
        <w:rPr>
          <w:rFonts w:hint="eastAsia" w:ascii="仿宋" w:hAnsi="仿宋" w:eastAsia="仿宋" w:cs="仿宋"/>
        </w:rPr>
      </w:pPr>
      <w:r>
        <w:rPr>
          <w:rFonts w:hint="eastAsia" w:ascii="仿宋" w:hAnsi="仿宋" w:eastAsia="仿宋" w:cs="仿宋"/>
        </w:rPr>
        <w:t>2.用户登录</w:t>
      </w:r>
    </w:p>
    <w:p>
      <w:pPr>
        <w:spacing w:before="156" w:after="156"/>
        <w:ind w:firstLine="440" w:firstLineChars="200"/>
        <w:rPr>
          <w:rFonts w:hint="eastAsia" w:ascii="仿宋" w:hAnsi="仿宋" w:eastAsia="仿宋" w:cs="仿宋"/>
        </w:rPr>
      </w:pPr>
      <w:r>
        <w:rPr>
          <w:rFonts w:hint="eastAsia" w:ascii="仿宋" w:hAnsi="仿宋" w:eastAsia="仿宋" w:cs="仿宋"/>
        </w:rPr>
        <w:t>（1）登录地址。输入网址进入河南省社会保障网上服务平台，网址地址：https:// siwsfw.hrss.henan.gov.cn。如果首次使用UKey登录社保单位网上服务大厅，需要先下载并安装对应的CA客户端驱动软件。</w:t>
      </w:r>
    </w:p>
    <w:p>
      <w:pPr>
        <w:spacing w:before="156" w:after="156"/>
        <w:ind w:firstLine="440" w:firstLineChars="200"/>
        <w:rPr>
          <w:rFonts w:hint="eastAsia" w:ascii="仿宋" w:hAnsi="仿宋" w:eastAsia="仿宋" w:cs="仿宋"/>
        </w:rPr>
      </w:pPr>
      <w:r>
        <w:rPr>
          <w:rFonts w:hint="eastAsia" w:ascii="仿宋" w:hAnsi="仿宋" w:eastAsia="仿宋" w:cs="仿宋"/>
        </w:rPr>
        <w:t>证书：插入CA提供的UKey后，选择相应单位的证书，获取对应单位信息；</w:t>
      </w:r>
    </w:p>
    <w:p>
      <w:pPr>
        <w:spacing w:before="156" w:after="156"/>
        <w:ind w:firstLine="440" w:firstLineChars="200"/>
        <w:rPr>
          <w:rFonts w:hint="eastAsia" w:ascii="仿宋" w:hAnsi="仿宋" w:eastAsia="仿宋" w:cs="仿宋"/>
        </w:rPr>
      </w:pPr>
      <w:r>
        <w:rPr>
          <w:rFonts w:hint="eastAsia" w:ascii="仿宋" w:hAnsi="仿宋" w:eastAsia="仿宋" w:cs="仿宋"/>
        </w:rPr>
        <w:t>密码：CA提供的UKey密码；</w:t>
      </w:r>
    </w:p>
    <w:p>
      <w:pPr>
        <w:spacing w:before="156" w:after="156"/>
      </w:pPr>
      <w:r>
        <w:drawing>
          <wp:inline distT="0" distB="0" distL="114300" distR="114300">
            <wp:extent cx="5256530" cy="2405380"/>
            <wp:effectExtent l="0" t="0" r="1270" b="25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5256530" cy="2405380"/>
                    </a:xfrm>
                    <a:prstGeom prst="rect">
                      <a:avLst/>
                    </a:prstGeom>
                    <a:noFill/>
                    <a:ln>
                      <a:noFill/>
                    </a:ln>
                  </pic:spPr>
                </pic:pic>
              </a:graphicData>
            </a:graphic>
          </wp:inline>
        </w:drawing>
      </w:r>
    </w:p>
    <w:p>
      <w:pPr>
        <w:spacing w:before="156" w:after="156"/>
        <w:ind w:firstLine="440" w:firstLineChars="200"/>
        <w:rPr>
          <w:rFonts w:hint="eastAsia" w:ascii="仿宋" w:hAnsi="仿宋" w:eastAsia="仿宋" w:cs="仿宋"/>
        </w:rPr>
      </w:pPr>
      <w:r>
        <w:rPr>
          <w:rFonts w:hint="eastAsia" w:ascii="仿宋" w:hAnsi="仿宋" w:eastAsia="仿宋" w:cs="仿宋"/>
        </w:rPr>
        <w:t>如果使用免数字证书登录社保单位网上服务大厅，需要点击“免数字证书登录”链接，录入单位统一社会信用代码以及验证码的方式进行登录。</w:t>
      </w:r>
    </w:p>
    <w:p>
      <w:pPr>
        <w:spacing w:before="156" w:after="156"/>
      </w:pPr>
      <w:r>
        <w:drawing>
          <wp:inline distT="0" distB="0" distL="114300" distR="114300">
            <wp:extent cx="5256530" cy="2405380"/>
            <wp:effectExtent l="0" t="0" r="1270" b="254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5256530" cy="2405380"/>
                    </a:xfrm>
                    <a:prstGeom prst="rect">
                      <a:avLst/>
                    </a:prstGeom>
                    <a:noFill/>
                    <a:ln>
                      <a:noFill/>
                    </a:ln>
                  </pic:spPr>
                </pic:pic>
              </a:graphicData>
            </a:graphic>
          </wp:inline>
        </w:drawing>
      </w:r>
    </w:p>
    <w:p>
      <w:pPr>
        <w:spacing w:before="156" w:after="156"/>
        <w:ind w:firstLine="440" w:firstLineChars="200"/>
        <w:rPr>
          <w:rFonts w:hint="eastAsia" w:ascii="仿宋" w:hAnsi="仿宋" w:eastAsia="仿宋" w:cs="仿宋"/>
        </w:rPr>
      </w:pPr>
      <w:r>
        <w:rPr>
          <w:rFonts w:hint="eastAsia" w:ascii="仿宋" w:hAnsi="仿宋" w:eastAsia="仿宋" w:cs="仿宋"/>
        </w:rPr>
        <w:t>（2）首次登录单位网上服务大厅需要先进行注册管理员用户信息。管理员用户用于管理可登录系统的操作员以及设置内部单位，对于设置内部管理功能的参保单位，管理员用户可对操作员进行授权也可设置内部单位信息，对于没有设置内部管理功能的参保单位，管理员用户默认自动登录。</w:t>
      </w:r>
    </w:p>
    <w:p>
      <w:pPr>
        <w:spacing w:before="156" w:after="156"/>
      </w:pPr>
      <w:r>
        <w:drawing>
          <wp:inline distT="0" distB="0" distL="114300" distR="114300">
            <wp:extent cx="5274310" cy="2994025"/>
            <wp:effectExtent l="0" t="0" r="13970" b="825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0"/>
                    <a:stretch>
                      <a:fillRect/>
                    </a:stretch>
                  </pic:blipFill>
                  <pic:spPr>
                    <a:xfrm>
                      <a:off x="0" y="0"/>
                      <a:ext cx="5274310" cy="2994025"/>
                    </a:xfrm>
                    <a:prstGeom prst="rect">
                      <a:avLst/>
                    </a:prstGeom>
                    <a:noFill/>
                    <a:ln>
                      <a:noFill/>
                    </a:ln>
                  </pic:spPr>
                </pic:pic>
              </a:graphicData>
            </a:graphic>
          </wp:inline>
        </w:drawing>
      </w:r>
    </w:p>
    <w:p>
      <w:pPr>
        <w:spacing w:before="156" w:after="156"/>
        <w:ind w:firstLine="440" w:firstLineChars="200"/>
        <w:rPr>
          <w:rFonts w:hint="eastAsia" w:ascii="仿宋" w:hAnsi="仿宋" w:eastAsia="仿宋" w:cs="仿宋"/>
        </w:rPr>
      </w:pPr>
      <w:r>
        <w:rPr>
          <w:rFonts w:hint="eastAsia" w:ascii="仿宋" w:hAnsi="仿宋" w:eastAsia="仿宋" w:cs="仿宋"/>
        </w:rPr>
        <w:t>（3）如果使用免数字证书方式注册的用户首次登录单位网上服务大厅，注册管理员用户时，注册页面中的联系手机号码为自动获取社保经办机构认证过的手机号码。认证需要参保单位到线下业务大厅办理。</w:t>
      </w:r>
    </w:p>
    <w:p>
      <w:pPr>
        <w:ind w:firstLine="420" w:firstLineChars="200"/>
        <w:rPr>
          <w:rFonts w:hint="eastAsia" w:ascii="仿宋" w:hAnsi="仿宋" w:eastAsia="仿宋" w:cs="仿宋"/>
        </w:rPr>
      </w:pPr>
      <w:r>
        <w:rPr>
          <w:rFonts w:hint="eastAsia" w:ascii="仿宋" w:hAnsi="仿宋" w:eastAsia="仿宋" w:cs="仿宋"/>
          <w:kern w:val="2"/>
          <w:sz w:val="21"/>
          <w:szCs w:val="24"/>
        </w:rPr>
        <w:t>三、</w:t>
      </w:r>
      <w:r>
        <w:rPr>
          <w:rFonts w:hint="eastAsia"/>
        </w:rPr>
        <w:t>劳务派遣单位提交申请</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1.登录单位网厅成功后首页选择“单位业务”</w:t>
      </w:r>
    </w:p>
    <w:p>
      <w:pPr>
        <w:rPr>
          <w:rFonts w:hint="eastAsia" w:ascii="仿宋" w:hAnsi="仿宋" w:eastAsia="仿宋" w:cs="仿宋"/>
          <w:sz w:val="21"/>
          <w:szCs w:val="21"/>
        </w:rPr>
      </w:pPr>
      <w:r>
        <w:rPr>
          <w:sz w:val="21"/>
          <w:szCs w:val="21"/>
        </w:rPr>
        <w:drawing>
          <wp:inline distT="0" distB="0" distL="114300" distR="114300">
            <wp:extent cx="5532755" cy="2359025"/>
            <wp:effectExtent l="0" t="0" r="14605" b="3175"/>
            <wp:docPr id="66" name="图片 1" descr="1581908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1581908886"/>
                    <pic:cNvPicPr>
                      <a:picLocks noChangeAspect="1"/>
                    </pic:cNvPicPr>
                  </pic:nvPicPr>
                  <pic:blipFill>
                    <a:blip r:embed="rId11"/>
                    <a:stretch>
                      <a:fillRect/>
                    </a:stretch>
                  </pic:blipFill>
                  <pic:spPr>
                    <a:xfrm>
                      <a:off x="0" y="0"/>
                      <a:ext cx="5532755" cy="2359025"/>
                    </a:xfrm>
                    <a:prstGeom prst="rect">
                      <a:avLst/>
                    </a:prstGeom>
                    <a:noFill/>
                    <a:ln>
                      <a:noFill/>
                    </a:ln>
                  </pic:spPr>
                </pic:pic>
              </a:graphicData>
            </a:graphic>
          </wp:inline>
        </w:drawing>
      </w:r>
    </w:p>
    <w:p>
      <w:pPr>
        <w:ind w:firstLine="420" w:firstLineChars="200"/>
        <w:rPr>
          <w:rFonts w:hint="eastAsia" w:ascii="仿宋" w:hAnsi="仿宋" w:eastAsia="仿宋" w:cs="仿宋"/>
          <w:sz w:val="21"/>
          <w:szCs w:val="21"/>
        </w:rPr>
      </w:pPr>
      <w:r>
        <w:rPr>
          <w:rFonts w:hint="eastAsia" w:ascii="仿宋" w:hAnsi="仿宋" w:eastAsia="仿宋" w:cs="仿宋"/>
          <w:sz w:val="21"/>
          <w:szCs w:val="21"/>
        </w:rPr>
        <w:t>2.选择“一次性扩岗补助申请”模块</w:t>
      </w:r>
    </w:p>
    <w:p>
      <w:pPr>
        <w:rPr>
          <w:rFonts w:hint="eastAsia" w:ascii="仿宋" w:hAnsi="仿宋" w:eastAsia="仿宋" w:cs="仿宋"/>
          <w:sz w:val="21"/>
          <w:szCs w:val="21"/>
        </w:rPr>
      </w:pPr>
      <w:r>
        <w:rPr>
          <w:rFonts w:hint="eastAsia" w:ascii="仿宋" w:hAnsi="仿宋" w:eastAsia="仿宋"/>
          <w:sz w:val="21"/>
          <w:szCs w:val="21"/>
        </w:rPr>
        <w:drawing>
          <wp:inline distT="0" distB="0" distL="114300" distR="114300">
            <wp:extent cx="5274310" cy="2312670"/>
            <wp:effectExtent l="0" t="0" r="139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2312670"/>
                    </a:xfrm>
                    <a:prstGeom prst="rect">
                      <a:avLst/>
                    </a:prstGeom>
                    <a:noFill/>
                    <a:ln>
                      <a:noFill/>
                    </a:ln>
                  </pic:spPr>
                </pic:pic>
              </a:graphicData>
            </a:graphic>
          </wp:inline>
        </w:drawing>
      </w:r>
    </w:p>
    <w:p>
      <w:pPr>
        <w:ind w:firstLine="420" w:firstLineChars="200"/>
        <w:rPr>
          <w:rFonts w:hint="eastAsia" w:ascii="仿宋" w:hAnsi="仿宋" w:eastAsia="仿宋" w:cs="仿宋"/>
          <w:sz w:val="21"/>
          <w:szCs w:val="21"/>
        </w:rPr>
      </w:pPr>
      <w:r>
        <w:rPr>
          <w:rFonts w:hint="eastAsia" w:ascii="仿宋" w:hAnsi="仿宋" w:eastAsia="仿宋" w:cs="仿宋"/>
          <w:sz w:val="21"/>
          <w:szCs w:val="21"/>
        </w:rPr>
        <w:t>3.根据提示申报</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符合条件的劳务派遣单位认真核对单位基本信息，下载相关模板。填写符合高校毕业生、登记失业青年条件的</w:t>
      </w:r>
      <w:r>
        <w:rPr>
          <w:rFonts w:hint="eastAsia" w:ascii="仿宋" w:hAnsi="仿宋" w:eastAsia="仿宋" w:cs="仿宋"/>
          <w:sz w:val="21"/>
          <w:szCs w:val="21"/>
          <w:lang w:eastAsia="zh-CN"/>
        </w:rPr>
        <w:t>自有</w:t>
      </w:r>
      <w:r>
        <w:rPr>
          <w:rFonts w:hint="eastAsia" w:ascii="仿宋" w:hAnsi="仿宋" w:eastAsia="仿宋" w:cs="仿宋"/>
          <w:sz w:val="21"/>
          <w:szCs w:val="21"/>
        </w:rPr>
        <w:t>用工和实际用工单位劳动者花名册，以及《劳务派遣单位经营许可证》《劳务派遣单位申领失业保险一次性扩岗补助承诺书》《劳务派遣单位申请一次性扩岗补助人员花名册》。</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其他单位仍按照以往材料及操作流程办理。</w:t>
      </w:r>
    </w:p>
    <w:p>
      <w:pPr>
        <w:jc w:val="center"/>
        <w:rPr>
          <w:rFonts w:hint="eastAsia" w:ascii="仿宋" w:hAnsi="仿宋" w:eastAsia="仿宋" w:cs="仿宋"/>
          <w:sz w:val="21"/>
          <w:szCs w:val="21"/>
        </w:rPr>
      </w:pPr>
      <w:r>
        <w:drawing>
          <wp:inline distT="0" distB="0" distL="0" distR="0">
            <wp:extent cx="5274310" cy="2787650"/>
            <wp:effectExtent l="0" t="0" r="13970" b="1270"/>
            <wp:docPr id="22382265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2650" name="图片 1" descr="图形用户界面, 文本, 应用程序&#10;&#10;描述已自动生成"/>
                    <pic:cNvPicPr>
                      <a:picLocks noChangeAspect="1"/>
                    </pic:cNvPicPr>
                  </pic:nvPicPr>
                  <pic:blipFill>
                    <a:blip r:embed="rId13"/>
                    <a:stretch>
                      <a:fillRect/>
                    </a:stretch>
                  </pic:blipFill>
                  <pic:spPr>
                    <a:xfrm>
                      <a:off x="0" y="0"/>
                      <a:ext cx="5274310" cy="2787650"/>
                    </a:xfrm>
                    <a:prstGeom prst="rect">
                      <a:avLst/>
                    </a:prstGeom>
                  </pic:spPr>
                </pic:pic>
              </a:graphicData>
            </a:graphic>
          </wp:inline>
        </w:drawing>
      </w:r>
    </w:p>
    <w:p>
      <w:pPr>
        <w:ind w:firstLine="420" w:firstLineChars="200"/>
        <w:rPr>
          <w:rFonts w:hint="eastAsia" w:ascii="仿宋" w:hAnsi="仿宋" w:eastAsia="仿宋" w:cs="仿宋"/>
          <w:sz w:val="21"/>
          <w:szCs w:val="21"/>
        </w:rPr>
      </w:pPr>
      <w:r>
        <w:rPr>
          <w:rFonts w:hint="eastAsia" w:ascii="仿宋" w:hAnsi="仿宋" w:eastAsia="仿宋" w:cs="仿宋"/>
          <w:sz w:val="21"/>
          <w:szCs w:val="21"/>
        </w:rPr>
        <w:t>4.上传报盘文件</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（1）选择按格式要求录入完整信息的报盘文件。</w:t>
      </w:r>
    </w:p>
    <w:p>
      <w:pPr>
        <w:pStyle w:val="15"/>
        <w:rPr>
          <w:rFonts w:hint="eastAsia" w:ascii="仿宋" w:hAnsi="仿宋" w:eastAsia="仿宋"/>
          <w:sz w:val="21"/>
          <w:szCs w:val="21"/>
        </w:rPr>
      </w:pPr>
      <w:r>
        <w:drawing>
          <wp:inline distT="0" distB="0" distL="0" distR="0">
            <wp:extent cx="5274310" cy="2465705"/>
            <wp:effectExtent l="0" t="0" r="0" b="0"/>
            <wp:docPr id="240337519"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37519" name="图片 1" descr="图形用户界面, 文本, 应用程序&#10;&#10;描述已自动生成"/>
                    <pic:cNvPicPr>
                      <a:picLocks noChangeAspect="1"/>
                    </pic:cNvPicPr>
                  </pic:nvPicPr>
                  <pic:blipFill>
                    <a:blip r:embed="rId14"/>
                    <a:stretch>
                      <a:fillRect/>
                    </a:stretch>
                  </pic:blipFill>
                  <pic:spPr>
                    <a:xfrm>
                      <a:off x="0" y="0"/>
                      <a:ext cx="5274310" cy="2465705"/>
                    </a:xfrm>
                    <a:prstGeom prst="rect">
                      <a:avLst/>
                    </a:prstGeom>
                  </pic:spPr>
                </pic:pic>
              </a:graphicData>
            </a:graphic>
          </wp:inline>
        </w:drawing>
      </w:r>
    </w:p>
    <w:p>
      <w:pPr>
        <w:pStyle w:val="15"/>
      </w:pPr>
    </w:p>
    <w:p>
      <w:pPr>
        <w:pStyle w:val="15"/>
        <w:rPr>
          <w:rFonts w:hint="eastAsia" w:ascii="仿宋" w:hAnsi="仿宋" w:eastAsia="仿宋"/>
          <w:sz w:val="21"/>
          <w:szCs w:val="21"/>
        </w:rPr>
      </w:pPr>
    </w:p>
    <w:p>
      <w:pPr>
        <w:pStyle w:val="15"/>
        <w:rPr>
          <w:rFonts w:hint="eastAsia" w:ascii="仿宋" w:hAnsi="仿宋" w:eastAsia="仿宋"/>
          <w:sz w:val="21"/>
          <w:szCs w:val="21"/>
        </w:rPr>
      </w:pPr>
      <w:r>
        <w:drawing>
          <wp:inline distT="0" distB="0" distL="0" distR="0">
            <wp:extent cx="5274310" cy="2447925"/>
            <wp:effectExtent l="0" t="0" r="0" b="0"/>
            <wp:docPr id="142459960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99600" name="图片 1" descr="图形用户界面, 应用程序&#10;&#10;描述已自动生成"/>
                    <pic:cNvPicPr>
                      <a:picLocks noChangeAspect="1"/>
                    </pic:cNvPicPr>
                  </pic:nvPicPr>
                  <pic:blipFill>
                    <a:blip r:embed="rId15"/>
                    <a:stretch>
                      <a:fillRect/>
                    </a:stretch>
                  </pic:blipFill>
                  <pic:spPr>
                    <a:xfrm>
                      <a:off x="0" y="0"/>
                      <a:ext cx="5274310" cy="2447925"/>
                    </a:xfrm>
                    <a:prstGeom prst="rect">
                      <a:avLst/>
                    </a:prstGeom>
                  </pic:spPr>
                </pic:pic>
              </a:graphicData>
            </a:graphic>
          </wp:inline>
        </w:drawing>
      </w:r>
    </w:p>
    <w:p>
      <w:pPr>
        <w:pStyle w:val="15"/>
        <w:widowControl w:val="0"/>
        <w:adjustRightInd/>
        <w:ind w:firstLine="420" w:firstLineChars="200"/>
        <w:rPr>
          <w:rFonts w:hint="eastAsia" w:ascii="仿宋" w:hAnsi="仿宋" w:eastAsia="仿宋"/>
          <w:sz w:val="21"/>
          <w:szCs w:val="21"/>
        </w:rPr>
      </w:pPr>
      <w:r>
        <w:rPr>
          <w:rFonts w:hint="eastAsia" w:ascii="仿宋" w:hAnsi="仿宋" w:eastAsia="仿宋"/>
          <w:sz w:val="21"/>
          <w:szCs w:val="21"/>
        </w:rPr>
        <w:t>（3）文件上传后查看处理结果（此环节校验导入的报盘信息是否有误，导入人员的参保状态、参保时间、三项社会保险参保月数、报盘人员普通高校应届毕业生身份或登记失业青年身份、是否享受过“一次性吸纳就业补贴”，失败的反馈原因）</w:t>
      </w:r>
    </w:p>
    <w:p>
      <w:pPr>
        <w:pStyle w:val="15"/>
        <w:rPr>
          <w:rFonts w:hint="eastAsia" w:ascii="仿宋" w:hAnsi="仿宋" w:eastAsia="仿宋"/>
          <w:sz w:val="21"/>
          <w:szCs w:val="21"/>
        </w:rPr>
      </w:pPr>
      <w:r>
        <w:drawing>
          <wp:inline distT="0" distB="0" distL="0" distR="0">
            <wp:extent cx="5274310" cy="2221865"/>
            <wp:effectExtent l="0" t="0" r="0" b="0"/>
            <wp:docPr id="121718024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80246" name="图片 1" descr="图形用户界面, 文本, 应用程序&#10;&#10;描述已自动生成"/>
                    <pic:cNvPicPr>
                      <a:picLocks noChangeAspect="1"/>
                    </pic:cNvPicPr>
                  </pic:nvPicPr>
                  <pic:blipFill>
                    <a:blip r:embed="rId16"/>
                    <a:stretch>
                      <a:fillRect/>
                    </a:stretch>
                  </pic:blipFill>
                  <pic:spPr>
                    <a:xfrm>
                      <a:off x="0" y="0"/>
                      <a:ext cx="5274310" cy="2221865"/>
                    </a:xfrm>
                    <a:prstGeom prst="rect">
                      <a:avLst/>
                    </a:prstGeom>
                  </pic:spPr>
                </pic:pic>
              </a:graphicData>
            </a:graphic>
          </wp:inline>
        </w:drawing>
      </w:r>
    </w:p>
    <w:p>
      <w:pPr>
        <w:pStyle w:val="15"/>
        <w:widowControl w:val="0"/>
        <w:adjustRightInd/>
        <w:ind w:firstLine="420" w:firstLineChars="200"/>
        <w:rPr>
          <w:rFonts w:hint="eastAsia" w:ascii="仿宋" w:hAnsi="仿宋" w:eastAsia="仿宋" w:cs="仿宋"/>
          <w:sz w:val="21"/>
          <w:szCs w:val="21"/>
          <w:shd w:val="clear" w:color="auto" w:fill="FFFFFF"/>
          <w:lang w:bidi="ar"/>
        </w:rPr>
      </w:pPr>
      <w:r>
        <w:rPr>
          <w:rFonts w:hint="eastAsia" w:ascii="仿宋" w:hAnsi="仿宋" w:eastAsia="仿宋"/>
          <w:sz w:val="21"/>
          <w:szCs w:val="21"/>
        </w:rPr>
        <w:t>（4）有处理失败的人员，把失败人员信息从报盘中删除。网厅处理详情里先点删除，再点清屏，然后再按（1）（2）步骤重新上传修改后的报盘。无处理失败的人员，忽略此步骤。</w:t>
      </w:r>
    </w:p>
    <w:p>
      <w:pPr>
        <w:pStyle w:val="15"/>
        <w:rPr>
          <w:rFonts w:hint="eastAsia" w:ascii="仿宋" w:hAnsi="仿宋" w:eastAsia="仿宋"/>
          <w:sz w:val="21"/>
          <w:szCs w:val="21"/>
        </w:rPr>
      </w:pPr>
      <w:r>
        <w:drawing>
          <wp:inline distT="0" distB="0" distL="0" distR="0">
            <wp:extent cx="5274310" cy="2687320"/>
            <wp:effectExtent l="0" t="0" r="0" b="0"/>
            <wp:docPr id="156047128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71286" name="图片 1" descr="图形用户界面, 应用程序&#10;&#10;描述已自动生成"/>
                    <pic:cNvPicPr>
                      <a:picLocks noChangeAspect="1"/>
                    </pic:cNvPicPr>
                  </pic:nvPicPr>
                  <pic:blipFill>
                    <a:blip r:embed="rId17"/>
                    <a:stretch>
                      <a:fillRect/>
                    </a:stretch>
                  </pic:blipFill>
                  <pic:spPr>
                    <a:xfrm>
                      <a:off x="0" y="0"/>
                      <a:ext cx="5274310" cy="2687320"/>
                    </a:xfrm>
                    <a:prstGeom prst="rect">
                      <a:avLst/>
                    </a:prstGeom>
                  </pic:spPr>
                </pic:pic>
              </a:graphicData>
            </a:graphic>
          </wp:inline>
        </w:drawing>
      </w:r>
    </w:p>
    <w:p>
      <w:pPr>
        <w:pStyle w:val="15"/>
        <w:widowControl w:val="0"/>
        <w:adjustRightInd/>
        <w:ind w:firstLine="420" w:firstLineChars="200"/>
        <w:rPr>
          <w:rFonts w:hint="eastAsia" w:ascii="仿宋" w:hAnsi="仿宋" w:eastAsia="仿宋"/>
          <w:sz w:val="21"/>
          <w:szCs w:val="21"/>
        </w:rPr>
      </w:pPr>
      <w:r>
        <w:rPr>
          <w:rFonts w:hint="eastAsia" w:ascii="仿宋" w:hAnsi="仿宋" w:eastAsia="仿宋"/>
          <w:sz w:val="21"/>
          <w:szCs w:val="21"/>
        </w:rPr>
        <w:t>（5）上传报盘信息显示处理成功后，查看上传结果。</w:t>
      </w:r>
    </w:p>
    <w:p>
      <w:pPr>
        <w:pStyle w:val="15"/>
        <w:rPr>
          <w:rFonts w:hint="eastAsia" w:ascii="仿宋" w:hAnsi="仿宋" w:eastAsia="仿宋"/>
          <w:sz w:val="21"/>
          <w:szCs w:val="21"/>
        </w:rPr>
      </w:pPr>
      <w:r>
        <w:drawing>
          <wp:inline distT="0" distB="0" distL="0" distR="0">
            <wp:extent cx="5274310" cy="2694940"/>
            <wp:effectExtent l="0" t="0" r="0" b="0"/>
            <wp:docPr id="122975890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58906" name="图片 1" descr="图形用户界面, 文本, 应用程序&#10;&#10;描述已自动生成"/>
                    <pic:cNvPicPr>
                      <a:picLocks noChangeAspect="1"/>
                    </pic:cNvPicPr>
                  </pic:nvPicPr>
                  <pic:blipFill>
                    <a:blip r:embed="rId18"/>
                    <a:stretch>
                      <a:fillRect/>
                    </a:stretch>
                  </pic:blipFill>
                  <pic:spPr>
                    <a:xfrm>
                      <a:off x="0" y="0"/>
                      <a:ext cx="5274310" cy="2694940"/>
                    </a:xfrm>
                    <a:prstGeom prst="rect">
                      <a:avLst/>
                    </a:prstGeom>
                  </pic:spPr>
                </pic:pic>
              </a:graphicData>
            </a:graphic>
          </wp:inline>
        </w:drawing>
      </w:r>
    </w:p>
    <w:p>
      <w:pPr>
        <w:pStyle w:val="15"/>
        <w:rPr>
          <w:rFonts w:hint="eastAsia" w:ascii="仿宋" w:hAnsi="仿宋" w:eastAsia="仿宋"/>
          <w:sz w:val="21"/>
          <w:szCs w:val="21"/>
        </w:rPr>
      </w:pPr>
      <w:r>
        <w:drawing>
          <wp:inline distT="0" distB="0" distL="0" distR="0">
            <wp:extent cx="5274310" cy="2069465"/>
            <wp:effectExtent l="0" t="0" r="0" b="0"/>
            <wp:docPr id="1730303992"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3992" name="图片 1" descr="图形用户界面, 文本, 应用程序, 电子邮件&#10;&#10;描述已自动生成"/>
                    <pic:cNvPicPr>
                      <a:picLocks noChangeAspect="1"/>
                    </pic:cNvPicPr>
                  </pic:nvPicPr>
                  <pic:blipFill>
                    <a:blip r:embed="rId19"/>
                    <a:stretch>
                      <a:fillRect/>
                    </a:stretch>
                  </pic:blipFill>
                  <pic:spPr>
                    <a:xfrm>
                      <a:off x="0" y="0"/>
                      <a:ext cx="5274310" cy="2069465"/>
                    </a:xfrm>
                    <a:prstGeom prst="rect">
                      <a:avLst/>
                    </a:prstGeom>
                  </pic:spPr>
                </pic:pic>
              </a:graphicData>
            </a:graphic>
          </wp:inline>
        </w:drawing>
      </w:r>
    </w:p>
    <w:p>
      <w:pPr>
        <w:pStyle w:val="15"/>
        <w:widowControl w:val="0"/>
        <w:adjustRightInd/>
        <w:ind w:firstLine="420" w:firstLineChars="200"/>
        <w:rPr>
          <w:rFonts w:hint="eastAsia" w:ascii="仿宋" w:hAnsi="仿宋" w:eastAsia="仿宋"/>
          <w:sz w:val="21"/>
          <w:szCs w:val="21"/>
        </w:rPr>
      </w:pPr>
      <w:r>
        <w:rPr>
          <w:rFonts w:hint="eastAsia" w:ascii="仿宋" w:hAnsi="仿宋" w:eastAsia="仿宋"/>
          <w:sz w:val="21"/>
          <w:szCs w:val="21"/>
        </w:rPr>
        <w:t>上传材料提交业务</w:t>
      </w:r>
    </w:p>
    <w:p>
      <w:pPr>
        <w:pStyle w:val="15"/>
        <w:widowControl w:val="0"/>
        <w:adjustRightInd/>
        <w:ind w:firstLine="420" w:firstLineChars="200"/>
        <w:rPr>
          <w:rFonts w:hint="eastAsia" w:ascii="仿宋" w:hAnsi="仿宋" w:eastAsia="仿宋"/>
          <w:sz w:val="21"/>
          <w:szCs w:val="21"/>
        </w:rPr>
      </w:pPr>
      <w:r>
        <w:rPr>
          <w:rFonts w:hint="eastAsia" w:ascii="仿宋" w:hAnsi="仿宋" w:eastAsia="仿宋"/>
          <w:sz w:val="21"/>
          <w:szCs w:val="21"/>
        </w:rPr>
        <w:t>（1）报盘上传成功，核对申报信息无问题后，点首页进入待提交业务页面。</w:t>
      </w:r>
    </w:p>
    <w:p>
      <w:pPr>
        <w:pStyle w:val="15"/>
        <w:rPr>
          <w:rFonts w:hint="eastAsia" w:ascii="仿宋" w:hAnsi="仿宋" w:eastAsia="仿宋"/>
          <w:sz w:val="21"/>
          <w:szCs w:val="21"/>
        </w:rPr>
      </w:pPr>
      <w:r>
        <w:rPr>
          <w:rFonts w:hint="eastAsia" w:ascii="仿宋" w:hAnsi="仿宋" w:eastAsia="仿宋"/>
          <w:sz w:val="21"/>
          <w:szCs w:val="21"/>
        </w:rPr>
        <w:drawing>
          <wp:inline distT="0" distB="0" distL="114300" distR="114300">
            <wp:extent cx="5271770" cy="4017645"/>
            <wp:effectExtent l="0" t="0" r="127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1770" cy="4017645"/>
                    </a:xfrm>
                    <a:prstGeom prst="rect">
                      <a:avLst/>
                    </a:prstGeom>
                    <a:noFill/>
                    <a:ln>
                      <a:noFill/>
                    </a:ln>
                  </pic:spPr>
                </pic:pic>
              </a:graphicData>
            </a:graphic>
          </wp:inline>
        </w:drawing>
      </w:r>
    </w:p>
    <w:p>
      <w:pPr>
        <w:pStyle w:val="15"/>
        <w:rPr>
          <w:rFonts w:hint="eastAsia" w:ascii="仿宋" w:hAnsi="仿宋" w:eastAsia="仿宋"/>
          <w:sz w:val="21"/>
          <w:szCs w:val="21"/>
        </w:rPr>
      </w:pPr>
      <w:r>
        <w:rPr>
          <w:rFonts w:hint="eastAsia" w:ascii="仿宋" w:hAnsi="仿宋" w:eastAsia="仿宋"/>
          <w:sz w:val="21"/>
          <w:szCs w:val="21"/>
        </w:rPr>
        <w:drawing>
          <wp:inline distT="0" distB="0" distL="114300" distR="114300">
            <wp:extent cx="5274310" cy="2089785"/>
            <wp:effectExtent l="0" t="0" r="13970" b="133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089785"/>
                    </a:xfrm>
                    <a:prstGeom prst="rect">
                      <a:avLst/>
                    </a:prstGeom>
                    <a:noFill/>
                    <a:ln>
                      <a:noFill/>
                    </a:ln>
                  </pic:spPr>
                </pic:pic>
              </a:graphicData>
            </a:graphic>
          </wp:inline>
        </w:drawing>
      </w:r>
    </w:p>
    <w:p>
      <w:pPr>
        <w:pStyle w:val="15"/>
        <w:widowControl w:val="0"/>
        <w:adjustRightInd/>
        <w:ind w:firstLine="420" w:firstLineChars="200"/>
        <w:rPr>
          <w:rFonts w:hint="eastAsia" w:ascii="仿宋" w:hAnsi="仿宋" w:eastAsia="仿宋"/>
          <w:sz w:val="21"/>
          <w:szCs w:val="21"/>
        </w:rPr>
      </w:pPr>
      <w:r>
        <w:rPr>
          <w:rFonts w:hint="eastAsia" w:ascii="仿宋" w:hAnsi="仿宋" w:eastAsia="仿宋"/>
          <w:sz w:val="21"/>
          <w:szCs w:val="21"/>
        </w:rPr>
        <w:t>（2）点附件，上传填写好的承诺书、人员花名册，不上传资料不允许提交。</w:t>
      </w:r>
    </w:p>
    <w:p>
      <w:pPr>
        <w:pStyle w:val="15"/>
        <w:rPr>
          <w:rFonts w:hint="eastAsia" w:ascii="仿宋" w:hAnsi="仿宋" w:eastAsia="仿宋"/>
          <w:sz w:val="21"/>
          <w:szCs w:val="21"/>
        </w:rPr>
      </w:pPr>
      <w:r>
        <w:rPr>
          <w:rFonts w:hint="eastAsia" w:ascii="仿宋" w:hAnsi="仿宋" w:eastAsia="仿宋"/>
          <w:sz w:val="21"/>
          <w:szCs w:val="21"/>
        </w:rPr>
        <w:drawing>
          <wp:inline distT="0" distB="0" distL="114300" distR="114300">
            <wp:extent cx="5273040" cy="231013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273040" cy="2310130"/>
                    </a:xfrm>
                    <a:prstGeom prst="rect">
                      <a:avLst/>
                    </a:prstGeom>
                    <a:noFill/>
                    <a:ln>
                      <a:noFill/>
                    </a:ln>
                  </pic:spPr>
                </pic:pic>
              </a:graphicData>
            </a:graphic>
          </wp:inline>
        </w:drawing>
      </w:r>
    </w:p>
    <w:p>
      <w:pPr>
        <w:pStyle w:val="15"/>
        <w:rPr>
          <w:rFonts w:hint="eastAsia" w:ascii="仿宋" w:hAnsi="仿宋" w:eastAsia="仿宋"/>
          <w:sz w:val="21"/>
          <w:szCs w:val="21"/>
        </w:rPr>
      </w:pPr>
      <w:r>
        <w:drawing>
          <wp:inline distT="0" distB="0" distL="0" distR="0">
            <wp:extent cx="5274310" cy="2122170"/>
            <wp:effectExtent l="0" t="0" r="0" b="0"/>
            <wp:docPr id="85155553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55536" name="图片 1" descr="图形用户界面, 文本, 应用程序&#10;&#10;描述已自动生成"/>
                    <pic:cNvPicPr>
                      <a:picLocks noChangeAspect="1"/>
                    </pic:cNvPicPr>
                  </pic:nvPicPr>
                  <pic:blipFill>
                    <a:blip r:embed="rId23"/>
                    <a:stretch>
                      <a:fillRect/>
                    </a:stretch>
                  </pic:blipFill>
                  <pic:spPr>
                    <a:xfrm>
                      <a:off x="0" y="0"/>
                      <a:ext cx="5274310" cy="2122170"/>
                    </a:xfrm>
                    <a:prstGeom prst="rect">
                      <a:avLst/>
                    </a:prstGeom>
                  </pic:spPr>
                </pic:pic>
              </a:graphicData>
            </a:graphic>
          </wp:inline>
        </w:drawing>
      </w:r>
    </w:p>
    <w:p>
      <w:pPr>
        <w:pStyle w:val="15"/>
        <w:rPr>
          <w:rFonts w:hint="eastAsia" w:ascii="仿宋" w:hAnsi="仿宋" w:eastAsia="仿宋"/>
          <w:sz w:val="21"/>
          <w:szCs w:val="21"/>
        </w:rPr>
      </w:pPr>
      <w:r>
        <w:rPr>
          <w:rFonts w:hint="eastAsia" w:ascii="仿宋" w:hAnsi="仿宋" w:eastAsia="仿宋"/>
          <w:sz w:val="21"/>
          <w:szCs w:val="21"/>
        </w:rPr>
        <w:t xml:space="preserve"> 注：劳务派遣单位电子材料申报必须上传《劳务派遣单位经营许可证》和《劳务派遣单位申请失业保险一次性扩岗补助承诺书》《劳务派遣单位申请一次性扩岗补助人员花名册》。</w:t>
      </w:r>
    </w:p>
    <w:p>
      <w:pPr>
        <w:pStyle w:val="15"/>
        <w:widowControl w:val="0"/>
        <w:adjustRightInd/>
        <w:ind w:firstLine="420" w:firstLineChars="200"/>
        <w:rPr>
          <w:rFonts w:hint="eastAsia" w:ascii="仿宋" w:hAnsi="仿宋" w:eastAsia="仿宋"/>
          <w:sz w:val="21"/>
          <w:szCs w:val="21"/>
          <w:lang w:eastAsia="zh-CN"/>
        </w:rPr>
      </w:pPr>
      <w:r>
        <w:rPr>
          <w:rFonts w:hint="eastAsia" w:ascii="仿宋" w:hAnsi="仿宋" w:eastAsia="仿宋"/>
          <w:sz w:val="21"/>
          <w:szCs w:val="21"/>
        </w:rPr>
        <w:t>（3）材料上传</w:t>
      </w:r>
      <w:r>
        <w:rPr>
          <w:rFonts w:hint="eastAsia" w:ascii="仿宋" w:hAnsi="仿宋" w:eastAsia="仿宋"/>
          <w:sz w:val="21"/>
          <w:szCs w:val="21"/>
          <w:lang w:eastAsia="zh-CN"/>
        </w:rPr>
        <w:t>完成</w:t>
      </w:r>
      <w:r>
        <w:rPr>
          <w:rFonts w:hint="eastAsia" w:ascii="仿宋" w:hAnsi="仿宋" w:eastAsia="仿宋"/>
          <w:sz w:val="21"/>
          <w:szCs w:val="21"/>
        </w:rPr>
        <w:t>后，点</w:t>
      </w:r>
      <w:r>
        <w:rPr>
          <w:rFonts w:hint="eastAsia" w:ascii="仿宋" w:hAnsi="仿宋" w:eastAsia="仿宋"/>
          <w:sz w:val="21"/>
          <w:szCs w:val="21"/>
          <w:lang w:eastAsia="zh-CN"/>
        </w:rPr>
        <w:t>“</w:t>
      </w:r>
      <w:r>
        <w:rPr>
          <w:rFonts w:hint="eastAsia" w:ascii="仿宋" w:hAnsi="仿宋" w:eastAsia="仿宋"/>
          <w:sz w:val="21"/>
          <w:szCs w:val="21"/>
        </w:rPr>
        <w:t>提交</w:t>
      </w:r>
      <w:r>
        <w:rPr>
          <w:rFonts w:hint="eastAsia" w:ascii="仿宋" w:hAnsi="仿宋" w:eastAsia="仿宋"/>
          <w:sz w:val="21"/>
          <w:szCs w:val="21"/>
          <w:lang w:eastAsia="zh-CN"/>
        </w:rPr>
        <w:t>”</w:t>
      </w:r>
    </w:p>
    <w:p>
      <w:pPr>
        <w:pStyle w:val="15"/>
        <w:rPr>
          <w:rFonts w:hint="eastAsia" w:ascii="仿宋" w:hAnsi="仿宋" w:eastAsia="仿宋"/>
          <w:sz w:val="21"/>
          <w:szCs w:val="21"/>
        </w:rPr>
      </w:pPr>
      <w:r>
        <w:rPr>
          <w:rFonts w:hint="eastAsia" w:ascii="仿宋" w:hAnsi="仿宋" w:eastAsia="仿宋"/>
          <w:sz w:val="21"/>
          <w:szCs w:val="21"/>
        </w:rPr>
        <w:drawing>
          <wp:inline distT="0" distB="0" distL="114300" distR="114300">
            <wp:extent cx="5273675" cy="1969770"/>
            <wp:effectExtent l="0" t="0" r="14605"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5273675" cy="1969770"/>
                    </a:xfrm>
                    <a:prstGeom prst="rect">
                      <a:avLst/>
                    </a:prstGeom>
                    <a:noFill/>
                    <a:ln>
                      <a:noFill/>
                    </a:ln>
                  </pic:spPr>
                </pic:pic>
              </a:graphicData>
            </a:graphic>
          </wp:inline>
        </w:drawing>
      </w:r>
    </w:p>
    <w:p>
      <w:pPr>
        <w:pStyle w:val="15"/>
        <w:widowControl w:val="0"/>
        <w:adjustRightInd/>
        <w:ind w:firstLine="420" w:firstLineChars="200"/>
        <w:rPr>
          <w:rFonts w:hint="eastAsia" w:ascii="仿宋" w:hAnsi="仿宋" w:eastAsia="仿宋"/>
          <w:sz w:val="21"/>
          <w:szCs w:val="21"/>
        </w:rPr>
      </w:pPr>
      <w:r>
        <w:rPr>
          <w:rFonts w:hint="eastAsia" w:ascii="仿宋" w:hAnsi="仿宋" w:eastAsia="仿宋"/>
          <w:sz w:val="21"/>
          <w:szCs w:val="21"/>
        </w:rPr>
        <w:t>5.查询办理进度</w:t>
      </w:r>
    </w:p>
    <w:p>
      <w:pPr>
        <w:pStyle w:val="15"/>
        <w:rPr>
          <w:rFonts w:hint="eastAsia" w:ascii="仿宋" w:hAnsi="仿宋" w:eastAsia="仿宋"/>
          <w:sz w:val="21"/>
          <w:szCs w:val="21"/>
        </w:rPr>
      </w:pPr>
      <w:r>
        <w:rPr>
          <w:rFonts w:hint="eastAsia" w:ascii="仿宋" w:hAnsi="仿宋" w:eastAsia="仿宋"/>
          <w:sz w:val="21"/>
          <w:szCs w:val="21"/>
        </w:rPr>
        <w:drawing>
          <wp:inline distT="0" distB="0" distL="114300" distR="114300">
            <wp:extent cx="5259070" cy="1861820"/>
            <wp:effectExtent l="0" t="0" r="13970"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5259070" cy="1861820"/>
                    </a:xfrm>
                    <a:prstGeom prst="rect">
                      <a:avLst/>
                    </a:prstGeom>
                    <a:noFill/>
                    <a:ln>
                      <a:noFill/>
                    </a:ln>
                  </pic:spPr>
                </pic:pic>
              </a:graphicData>
            </a:graphic>
          </wp:inline>
        </w:drawing>
      </w:r>
      <w:r>
        <w:rPr>
          <w:rFonts w:hint="eastAsia" w:ascii="仿宋" w:hAnsi="仿宋" w:eastAsia="仿宋"/>
          <w:sz w:val="21"/>
          <w:szCs w:val="21"/>
        </w:rPr>
        <w:drawing>
          <wp:inline distT="0" distB="0" distL="114300" distR="114300">
            <wp:extent cx="5271770" cy="1981835"/>
            <wp:effectExtent l="0" t="0" r="1270" b="146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5271770" cy="1981835"/>
                    </a:xfrm>
                    <a:prstGeom prst="rect">
                      <a:avLst/>
                    </a:prstGeom>
                    <a:noFill/>
                    <a:ln>
                      <a:noFill/>
                    </a:ln>
                  </pic:spPr>
                </pic:pic>
              </a:graphicData>
            </a:graphic>
          </wp:inline>
        </w:drawing>
      </w:r>
    </w:p>
    <w:p>
      <w:pPr>
        <w:ind w:firstLine="420" w:firstLineChars="200"/>
        <w:rPr>
          <w:rFonts w:hint="eastAsia" w:ascii="仿宋" w:hAnsi="仿宋" w:eastAsia="仿宋" w:cs="仿宋"/>
          <w:sz w:val="21"/>
          <w:szCs w:val="21"/>
        </w:rPr>
      </w:pPr>
      <w:r>
        <w:rPr>
          <w:rFonts w:hint="eastAsia" w:ascii="仿宋" w:hAnsi="仿宋" w:eastAsia="仿宋" w:cs="仿宋"/>
          <w:kern w:val="2"/>
          <w:sz w:val="21"/>
          <w:szCs w:val="21"/>
        </w:rPr>
        <w:t>四、</w:t>
      </w:r>
      <w:r>
        <w:rPr>
          <w:rFonts w:hint="eastAsia" w:ascii="仿宋" w:hAnsi="仿宋" w:eastAsia="仿宋" w:cs="仿宋"/>
          <w:sz w:val="21"/>
          <w:szCs w:val="21"/>
        </w:rPr>
        <w:t>经办机构通过中心端程序审核并向劳务派遣单位发放扩岗补助资金</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1.一次性扩岗补助核定</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单位提交成功后，推到经办岗业务待办。</w:t>
      </w:r>
    </w:p>
    <w:p>
      <w:pPr>
        <w:ind w:firstLine="420" w:firstLineChars="200"/>
        <w:rPr>
          <w:rFonts w:hint="eastAsia" w:ascii="仿宋" w:hAnsi="仿宋" w:eastAsia="仿宋" w:cs="仿宋"/>
          <w:sz w:val="21"/>
          <w:szCs w:val="21"/>
        </w:rPr>
      </w:pPr>
      <w:r>
        <w:rPr>
          <w:rFonts w:hint="eastAsia" w:ascii="仿宋" w:hAnsi="仿宋" w:eastAsia="仿宋" w:cs="仿宋"/>
          <w:sz w:val="21"/>
          <w:szCs w:val="21"/>
        </w:rPr>
        <w:t>（替换截图）</w:t>
      </w:r>
    </w:p>
    <w:p>
      <w:pPr>
        <w:pStyle w:val="15"/>
        <w:rPr>
          <w:rFonts w:hint="eastAsia" w:ascii="仿宋" w:hAnsi="仿宋" w:eastAsia="仿宋"/>
          <w:sz w:val="21"/>
          <w:szCs w:val="21"/>
        </w:rPr>
      </w:pPr>
      <w:r>
        <w:rPr>
          <w:rFonts w:hint="eastAsia" w:ascii="仿宋_GB2312" w:hAnsi="仿宋_GB2312" w:eastAsia="仿宋_GB2312" w:cs="仿宋_GB2312"/>
          <w:sz w:val="21"/>
          <w:szCs w:val="21"/>
        </w:rPr>
        <w:drawing>
          <wp:inline distT="0" distB="0" distL="114300" distR="114300">
            <wp:extent cx="4960620" cy="132588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4960620" cy="1325880"/>
                    </a:xfrm>
                    <a:prstGeom prst="rect">
                      <a:avLst/>
                    </a:prstGeom>
                    <a:noFill/>
                    <a:ln>
                      <a:noFill/>
                    </a:ln>
                  </pic:spPr>
                </pic:pic>
              </a:graphicData>
            </a:graphic>
          </wp:inline>
        </w:drawing>
      </w:r>
    </w:p>
    <w:p>
      <w:pPr>
        <w:pStyle w:val="15"/>
        <w:ind w:firstLine="420" w:firstLineChars="200"/>
        <w:rPr>
          <w:rFonts w:hint="eastAsia" w:ascii="仿宋" w:hAnsi="仿宋" w:eastAsia="仿宋"/>
          <w:sz w:val="21"/>
          <w:szCs w:val="21"/>
        </w:rPr>
      </w:pPr>
      <w:r>
        <w:rPr>
          <w:rFonts w:hint="eastAsia" w:ascii="仿宋" w:hAnsi="仿宋" w:eastAsia="仿宋"/>
          <w:sz w:val="21"/>
          <w:szCs w:val="21"/>
        </w:rPr>
        <w:t>（1）业务核定</w:t>
      </w:r>
    </w:p>
    <w:p>
      <w:pPr>
        <w:pStyle w:val="15"/>
        <w:rPr>
          <w:rFonts w:hint="eastAsia" w:ascii="仿宋" w:hAnsi="仿宋" w:eastAsia="仿宋"/>
          <w:sz w:val="21"/>
          <w:szCs w:val="21"/>
        </w:rPr>
      </w:pPr>
      <w:r>
        <w:rPr>
          <w:rFonts w:hint="eastAsia" w:ascii="仿宋_GB2312" w:hAnsi="仿宋_GB2312" w:eastAsia="仿宋_GB2312" w:cs="仿宋_GB2312"/>
          <w:sz w:val="21"/>
          <w:szCs w:val="21"/>
        </w:rPr>
        <w:drawing>
          <wp:inline distT="0" distB="0" distL="114300" distR="114300">
            <wp:extent cx="5273040" cy="2094230"/>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5273040" cy="2094230"/>
                    </a:xfrm>
                    <a:prstGeom prst="rect">
                      <a:avLst/>
                    </a:prstGeom>
                    <a:noFill/>
                    <a:ln>
                      <a:noFill/>
                    </a:ln>
                  </pic:spPr>
                </pic:pic>
              </a:graphicData>
            </a:graphic>
          </wp:inline>
        </w:drawing>
      </w:r>
    </w:p>
    <w:p>
      <w:pPr>
        <w:pStyle w:val="15"/>
        <w:ind w:firstLine="420" w:firstLineChars="200"/>
        <w:rPr>
          <w:rFonts w:hint="eastAsia" w:ascii="仿宋" w:hAnsi="仿宋" w:eastAsia="仿宋"/>
          <w:sz w:val="21"/>
          <w:szCs w:val="21"/>
        </w:rPr>
      </w:pPr>
      <w:r>
        <w:rPr>
          <w:rFonts w:hint="eastAsia" w:ascii="仿宋" w:hAnsi="仿宋" w:eastAsia="仿宋"/>
          <w:sz w:val="21"/>
          <w:szCs w:val="21"/>
        </w:rPr>
        <w:t>核算完保存</w:t>
      </w:r>
    </w:p>
    <w:p>
      <w:pPr>
        <w:pStyle w:val="15"/>
        <w:rPr>
          <w:rFonts w:hint="eastAsia" w:ascii="仿宋" w:hAnsi="仿宋" w:eastAsia="仿宋"/>
          <w:sz w:val="21"/>
          <w:szCs w:val="21"/>
        </w:rPr>
      </w:pPr>
      <w:r>
        <w:rPr>
          <w:rFonts w:hint="eastAsia" w:ascii="仿宋_GB2312" w:hAnsi="仿宋_GB2312" w:eastAsia="仿宋_GB2312" w:cs="仿宋_GB2312"/>
          <w:sz w:val="21"/>
          <w:szCs w:val="21"/>
        </w:rPr>
        <w:drawing>
          <wp:inline distT="0" distB="0" distL="114300" distR="114300">
            <wp:extent cx="5260975" cy="2085975"/>
            <wp:effectExtent l="0" t="0" r="12065"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5260975" cy="2085975"/>
                    </a:xfrm>
                    <a:prstGeom prst="rect">
                      <a:avLst/>
                    </a:prstGeom>
                    <a:noFill/>
                    <a:ln>
                      <a:noFill/>
                    </a:ln>
                  </pic:spPr>
                </pic:pic>
              </a:graphicData>
            </a:graphic>
          </wp:inline>
        </w:drawing>
      </w:r>
    </w:p>
    <w:p>
      <w:pPr>
        <w:pStyle w:val="15"/>
        <w:ind w:firstLine="420" w:firstLineChars="200"/>
        <w:rPr>
          <w:rFonts w:hint="eastAsia" w:ascii="仿宋" w:hAnsi="仿宋" w:eastAsia="仿宋"/>
          <w:sz w:val="21"/>
          <w:szCs w:val="21"/>
        </w:rPr>
      </w:pPr>
      <w:r>
        <w:rPr>
          <w:rFonts w:hint="eastAsia" w:ascii="仿宋" w:hAnsi="仿宋" w:eastAsia="仿宋"/>
          <w:sz w:val="21"/>
          <w:szCs w:val="21"/>
        </w:rPr>
        <w:t>（2）业务复核，此业务四级办理，一级经办三级复核</w:t>
      </w:r>
    </w:p>
    <w:p>
      <w:pPr>
        <w:pStyle w:val="15"/>
        <w:rPr>
          <w:rFonts w:hint="eastAsia" w:ascii="仿宋" w:hAnsi="仿宋" w:eastAsia="仿宋"/>
          <w:sz w:val="21"/>
          <w:szCs w:val="21"/>
        </w:rPr>
      </w:pPr>
      <w:r>
        <w:rPr>
          <w:rFonts w:hint="eastAsia" w:ascii="仿宋_GB2312" w:hAnsi="仿宋_GB2312" w:eastAsia="仿宋_GB2312" w:cs="仿宋_GB2312"/>
          <w:sz w:val="21"/>
          <w:szCs w:val="21"/>
        </w:rPr>
        <w:drawing>
          <wp:inline distT="0" distB="0" distL="114300" distR="114300">
            <wp:extent cx="5266690" cy="3092450"/>
            <wp:effectExtent l="0" t="0" r="635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266690" cy="3092450"/>
                    </a:xfrm>
                    <a:prstGeom prst="rect">
                      <a:avLst/>
                    </a:prstGeom>
                    <a:noFill/>
                    <a:ln>
                      <a:noFill/>
                    </a:ln>
                  </pic:spPr>
                </pic:pic>
              </a:graphicData>
            </a:graphic>
          </wp:inline>
        </w:drawing>
      </w:r>
    </w:p>
    <w:p>
      <w:pPr>
        <w:ind w:firstLine="420" w:firstLineChars="200"/>
        <w:outlineLvl w:val="0"/>
        <w:rPr>
          <w:rFonts w:hint="eastAsia" w:ascii="仿宋" w:hAnsi="仿宋" w:eastAsia="仿宋" w:cs="仿宋"/>
          <w:sz w:val="21"/>
          <w:szCs w:val="21"/>
        </w:rPr>
      </w:pPr>
      <w:r>
        <w:rPr>
          <w:rFonts w:hint="eastAsia" w:ascii="仿宋" w:hAnsi="仿宋" w:eastAsia="仿宋" w:cs="仿宋"/>
          <w:sz w:val="21"/>
          <w:szCs w:val="21"/>
        </w:rPr>
        <w:t>2.一次性扩岗补助查询、公示、拨付以及支付流程</w:t>
      </w:r>
    </w:p>
    <w:p>
      <w:pPr>
        <w:ind w:firstLine="420" w:firstLineChars="200"/>
        <w:rPr>
          <w:rFonts w:hint="eastAsia" w:ascii="仿宋" w:hAnsi="仿宋" w:eastAsia="仿宋" w:cs="仿宋"/>
          <w:color w:val="FF0000"/>
          <w:sz w:val="21"/>
          <w:szCs w:val="21"/>
        </w:rPr>
      </w:pPr>
      <w:r>
        <w:rPr>
          <w:rFonts w:hint="eastAsia" w:ascii="仿宋" w:hAnsi="仿宋" w:eastAsia="仿宋" w:cs="仿宋"/>
          <w:sz w:val="21"/>
          <w:szCs w:val="21"/>
        </w:rPr>
        <w:t>劳务派遣单位一次性扩岗补助查询、公示、拨付以及支付流程与普通企业一致。</w:t>
      </w:r>
    </w:p>
    <w:p>
      <w:pPr>
        <w:ind w:firstLine="420" w:firstLineChars="200"/>
        <w:rPr>
          <w:rFonts w:hint="eastAsia" w:ascii="仿宋" w:hAnsi="仿宋" w:eastAsia="仿宋" w:cs="仿宋"/>
          <w:sz w:val="21"/>
          <w:szCs w:val="21"/>
          <w:lang w:val="zh-CN"/>
        </w:rPr>
      </w:pPr>
      <w:r>
        <w:rPr>
          <w:rFonts w:hint="eastAsia" w:ascii="仿宋" w:hAnsi="仿宋" w:eastAsia="仿宋" w:cs="仿宋"/>
          <w:sz w:val="21"/>
          <w:szCs w:val="21"/>
        </w:rPr>
        <w:t>五、</w:t>
      </w:r>
      <w:r>
        <w:rPr>
          <w:rFonts w:hint="eastAsia" w:ascii="仿宋" w:hAnsi="仿宋" w:eastAsia="仿宋" w:cs="仿宋"/>
          <w:sz w:val="21"/>
          <w:szCs w:val="21"/>
          <w:lang w:val="zh-CN"/>
        </w:rPr>
        <w:t>劳务派遣单位向用工单位拨付资金（略）</w:t>
      </w:r>
    </w:p>
    <w:p>
      <w:pPr>
        <w:ind w:firstLine="420" w:firstLineChars="200"/>
        <w:rPr>
          <w:rFonts w:hint="eastAsia" w:ascii="仿宋" w:hAnsi="仿宋" w:eastAsia="仿宋" w:cs="仿宋"/>
          <w:sz w:val="21"/>
          <w:szCs w:val="21"/>
          <w:lang w:val="zh-CN"/>
        </w:rPr>
      </w:pPr>
      <w:r>
        <w:rPr>
          <w:rFonts w:hint="eastAsia" w:ascii="仿宋" w:hAnsi="仿宋" w:eastAsia="仿宋" w:cs="仿宋"/>
          <w:sz w:val="21"/>
          <w:szCs w:val="21"/>
          <w:lang w:val="zh-CN"/>
        </w:rPr>
        <w:t>六、劳务派遣单位向经办机构提交拨付至实际用工单位的相关凭证及用工管理佐证材料（陆续上线中）</w:t>
      </w:r>
    </w:p>
    <w:p>
      <w:pPr>
        <w:ind w:firstLine="420" w:firstLineChars="200"/>
        <w:rPr>
          <w:rFonts w:hint="eastAsia" w:ascii="仿宋" w:hAnsi="仿宋" w:eastAsia="仿宋"/>
          <w:sz w:val="21"/>
          <w:szCs w:val="21"/>
          <w:lang w:val="zh-CN"/>
        </w:rPr>
      </w:pPr>
      <w:r>
        <w:rPr>
          <w:rFonts w:hint="eastAsia" w:ascii="仿宋" w:hAnsi="仿宋" w:eastAsia="仿宋" w:cs="仿宋"/>
          <w:sz w:val="21"/>
          <w:szCs w:val="21"/>
          <w:lang w:val="zh-CN"/>
        </w:rPr>
        <w:t>七、向经办机构退回无法拨付部分的返还资金并提交书面情况说明（陆续上线中）</w:t>
      </w:r>
    </w:p>
    <w:sectPr>
      <w:footerReference r:id="rId4" w:type="default"/>
      <w:pgSz w:w="11906" w:h="16838"/>
      <w:pgMar w:top="1440" w:right="1800" w:bottom="1440" w:left="1800"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Tahoma">
    <w:altName w:val="Droid Sans"/>
    <w:panose1 w:val="020B0604030504040204"/>
    <w:charset w:val="00"/>
    <w:family w:val="swiss"/>
    <w:pitch w:val="default"/>
    <w:sig w:usb0="00000000" w:usb1="00000000" w:usb2="00000029" w:usb3="00000000" w:csb0="200101FF" w:csb1="20280000"/>
  </w:font>
  <w:font w:name="Droid Sans">
    <w:panose1 w:val="020B0606030804020204"/>
    <w:charset w:val="00"/>
    <w:family w:val="auto"/>
    <w:pitch w:val="default"/>
    <w:sig w:usb0="E00002EF" w:usb1="4000205B" w:usb2="00000028" w:usb3="00000000" w:csb0="2000019F" w:csb1="00000000"/>
  </w:font>
  <w:font w:name="仿宋">
    <w:panose1 w:val="02010609060101010101"/>
    <w:charset w:val="86"/>
    <w:family w:val="modern"/>
    <w:pitch w:val="default"/>
    <w:sig w:usb0="800002BF" w:usb1="38CF7CFA" w:usb2="00000016" w:usb3="00000000" w:csb0="00040001" w:csb1="00000000"/>
  </w:font>
  <w:font w:name="Cambria">
    <w:altName w:val="FreeSerif"/>
    <w:panose1 w:val="02040503050406030204"/>
    <w:charset w:val="00"/>
    <w:family w:val="roman"/>
    <w:pitch w:val="default"/>
    <w:sig w:usb0="00000000" w:usb1="00000000" w:usb2="00000000" w:usb3="00000000" w:csb0="2000019F" w:csb1="00000000"/>
  </w:font>
  <w:font w:name="FreeSerif">
    <w:panose1 w:val="02020603050405020304"/>
    <w:charset w:val="00"/>
    <w:family w:val="auto"/>
    <w:pitch w:val="default"/>
    <w:sig w:usb0="E59FAFFF" w:usb1="C200FDFF" w:usb2="43501B29" w:usb3="04000043" w:csb0="600101FF" w:csb1="FFFF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华文细黑">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0"/>
          <w:jc w:val="center"/>
        </w:pPr>
        <w:r>
          <w:fldChar w:fldCharType="begin"/>
        </w:r>
        <w:r>
          <w:instrText xml:space="preserve">PAGE   \* MERGEFORMAT</w:instrText>
        </w:r>
        <w:r>
          <w:fldChar w:fldCharType="separate"/>
        </w:r>
        <w:r>
          <w:rPr>
            <w:lang w:val="zh-CN"/>
          </w:rPr>
          <w:t>27</w:t>
        </w:r>
        <w:r>
          <w:fldChar w:fldCharType="end"/>
        </w:r>
      </w:p>
    </w:sdtContent>
  </w:sdt>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856EB8"/>
    <w:multiLevelType w:val="multilevel"/>
    <w:tmpl w:val="0C856EB8"/>
    <w:lvl w:ilvl="0" w:tentative="0">
      <w:start w:val="1"/>
      <w:numFmt w:val="decimal"/>
      <w:pStyle w:val="5"/>
      <w:lvlText w:val="2.1.2.%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42EC0D37"/>
    <w:multiLevelType w:val="multilevel"/>
    <w:tmpl w:val="42EC0D37"/>
    <w:lvl w:ilvl="0" w:tentative="0">
      <w:start w:val="1"/>
      <w:numFmt w:val="decimal"/>
      <w:pStyle w:val="2"/>
      <w:isLgl/>
      <w:lvlText w:val="%1"/>
      <w:lvlJc w:val="left"/>
      <w:pPr>
        <w:tabs>
          <w:tab w:val="left" w:pos="432"/>
        </w:tabs>
        <w:ind w:left="432" w:hanging="432"/>
      </w:pPr>
      <w:rPr>
        <w:rFonts w:hint="eastAsia" w:ascii="宋体" w:hAnsi="宋体" w:eastAsia="宋体"/>
        <w:b/>
        <w:i w:val="0"/>
        <w:sz w:val="32"/>
        <w:szCs w:val="32"/>
      </w:rPr>
    </w:lvl>
    <w:lvl w:ilvl="1" w:tentative="0">
      <w:start w:val="1"/>
      <w:numFmt w:val="decimal"/>
      <w:isLgl/>
      <w:lvlText w:val="%1.%2"/>
      <w:lvlJc w:val="left"/>
      <w:pPr>
        <w:tabs>
          <w:tab w:val="left" w:pos="576"/>
        </w:tabs>
        <w:ind w:left="576" w:hanging="576"/>
      </w:pPr>
      <w:rPr>
        <w:rFonts w:hint="eastAsia" w:eastAsia="宋体"/>
        <w:b/>
        <w:i w:val="0"/>
        <w:sz w:val="24"/>
        <w:szCs w:val="24"/>
      </w:rPr>
    </w:lvl>
    <w:lvl w:ilvl="2" w:tentative="0">
      <w:start w:val="1"/>
      <w:numFmt w:val="decimal"/>
      <w:isLgl/>
      <w:lvlText w:val="%1.%2.%3"/>
      <w:lvlJc w:val="left"/>
      <w:pPr>
        <w:tabs>
          <w:tab w:val="left" w:pos="1146"/>
        </w:tabs>
        <w:ind w:left="1146" w:hanging="720"/>
      </w:pPr>
      <w:rPr>
        <w:rFonts w:hint="eastAsia" w:ascii="宋体" w:hAnsi="宋体" w:eastAsia="宋体"/>
        <w:b w:val="0"/>
        <w:i w:val="0"/>
        <w:sz w:val="24"/>
        <w:szCs w:val="24"/>
      </w:rPr>
    </w:lvl>
    <w:lvl w:ilvl="3" w:tentative="0">
      <w:start w:val="1"/>
      <w:numFmt w:val="decimal"/>
      <w:lvlText w:val="%1.%2.%3.%4"/>
      <w:lvlJc w:val="left"/>
      <w:pPr>
        <w:tabs>
          <w:tab w:val="left" w:pos="1431"/>
        </w:tabs>
        <w:ind w:left="1431"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5E732F75"/>
    <w:multiLevelType w:val="multilevel"/>
    <w:tmpl w:val="5E732F75"/>
    <w:lvl w:ilvl="0" w:tentative="0">
      <w:start w:val="1"/>
      <w:numFmt w:val="japaneseCounting"/>
      <w:lvlText w:val="%1、"/>
      <w:lvlJc w:val="left"/>
      <w:pPr>
        <w:ind w:left="720" w:hanging="720"/>
      </w:pPr>
      <w:rPr>
        <w:rFonts w:hint="default"/>
      </w:rPr>
    </w:lvl>
    <w:lvl w:ilvl="1" w:tentative="0">
      <w:start w:val="1"/>
      <w:numFmt w:val="lowerLetter"/>
      <w:pStyle w:val="3"/>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characterSpacingControl w:val="doNotCompress"/>
  <w:footnotePr>
    <w:footnote w:id="0"/>
    <w:footnote w:id="1"/>
  </w:footnotePr>
  <w:compat>
    <w:useFELayout/>
    <w:compatSetting w:name="compatibilityMode" w:uri="http://schemas.microsoft.com/office/word" w:val="12"/>
  </w:compat>
  <w:docVars>
    <w:docVar w:name="commondata" w:val="eyJoZGlkIjoiNTBkNTE1OGY0ZThlZjA0MmIyZTUxMjk1MDc0NzkxYTgifQ=="/>
  </w:docVars>
  <w:rsids>
    <w:rsidRoot w:val="00D31D50"/>
    <w:rsid w:val="000117CC"/>
    <w:rsid w:val="00014EE8"/>
    <w:rsid w:val="00022438"/>
    <w:rsid w:val="00025475"/>
    <w:rsid w:val="000268D2"/>
    <w:rsid w:val="00031E6E"/>
    <w:rsid w:val="00036EFA"/>
    <w:rsid w:val="00055FA8"/>
    <w:rsid w:val="00056A75"/>
    <w:rsid w:val="00061394"/>
    <w:rsid w:val="000634D2"/>
    <w:rsid w:val="00065BD9"/>
    <w:rsid w:val="00066CEB"/>
    <w:rsid w:val="00072FCE"/>
    <w:rsid w:val="00073674"/>
    <w:rsid w:val="00077997"/>
    <w:rsid w:val="00077DAD"/>
    <w:rsid w:val="000846DD"/>
    <w:rsid w:val="00085792"/>
    <w:rsid w:val="0008585E"/>
    <w:rsid w:val="0009442A"/>
    <w:rsid w:val="000A2882"/>
    <w:rsid w:val="000A3403"/>
    <w:rsid w:val="000A42ED"/>
    <w:rsid w:val="000A4FF4"/>
    <w:rsid w:val="000A7A8B"/>
    <w:rsid w:val="000B3437"/>
    <w:rsid w:val="000B35A2"/>
    <w:rsid w:val="000C5F3A"/>
    <w:rsid w:val="000D01D8"/>
    <w:rsid w:val="000D01DF"/>
    <w:rsid w:val="000D2B70"/>
    <w:rsid w:val="000D59CD"/>
    <w:rsid w:val="000E2531"/>
    <w:rsid w:val="000E7047"/>
    <w:rsid w:val="000F0440"/>
    <w:rsid w:val="000F60E7"/>
    <w:rsid w:val="00104314"/>
    <w:rsid w:val="0011676C"/>
    <w:rsid w:val="0012339A"/>
    <w:rsid w:val="0013120F"/>
    <w:rsid w:val="00131681"/>
    <w:rsid w:val="00143B36"/>
    <w:rsid w:val="0016236C"/>
    <w:rsid w:val="0016431C"/>
    <w:rsid w:val="0017397D"/>
    <w:rsid w:val="001811D5"/>
    <w:rsid w:val="00181FC3"/>
    <w:rsid w:val="0018284E"/>
    <w:rsid w:val="001830F2"/>
    <w:rsid w:val="001859E4"/>
    <w:rsid w:val="001872E5"/>
    <w:rsid w:val="00187D63"/>
    <w:rsid w:val="00197512"/>
    <w:rsid w:val="00197FC7"/>
    <w:rsid w:val="001A22E2"/>
    <w:rsid w:val="001A3F8D"/>
    <w:rsid w:val="001A6816"/>
    <w:rsid w:val="001A6A90"/>
    <w:rsid w:val="001C1FA9"/>
    <w:rsid w:val="001C5FBC"/>
    <w:rsid w:val="001E1408"/>
    <w:rsid w:val="001F0400"/>
    <w:rsid w:val="001F2C01"/>
    <w:rsid w:val="001F2CC6"/>
    <w:rsid w:val="002011A4"/>
    <w:rsid w:val="00206D8A"/>
    <w:rsid w:val="002118F9"/>
    <w:rsid w:val="0021353A"/>
    <w:rsid w:val="00215385"/>
    <w:rsid w:val="00217711"/>
    <w:rsid w:val="00222B04"/>
    <w:rsid w:val="00240067"/>
    <w:rsid w:val="00253BE4"/>
    <w:rsid w:val="0025441B"/>
    <w:rsid w:val="00254DB0"/>
    <w:rsid w:val="002627DE"/>
    <w:rsid w:val="00274E5E"/>
    <w:rsid w:val="00282AF0"/>
    <w:rsid w:val="00283E5A"/>
    <w:rsid w:val="00284105"/>
    <w:rsid w:val="00285B44"/>
    <w:rsid w:val="00287F15"/>
    <w:rsid w:val="002937CE"/>
    <w:rsid w:val="00295DD6"/>
    <w:rsid w:val="0029602C"/>
    <w:rsid w:val="002A0D68"/>
    <w:rsid w:val="002A5858"/>
    <w:rsid w:val="002B00E8"/>
    <w:rsid w:val="002B205F"/>
    <w:rsid w:val="002C0750"/>
    <w:rsid w:val="002C50D1"/>
    <w:rsid w:val="002E70BB"/>
    <w:rsid w:val="002F46A2"/>
    <w:rsid w:val="003003B1"/>
    <w:rsid w:val="00305417"/>
    <w:rsid w:val="00311B66"/>
    <w:rsid w:val="003141C1"/>
    <w:rsid w:val="0031656E"/>
    <w:rsid w:val="00316846"/>
    <w:rsid w:val="00323410"/>
    <w:rsid w:val="00323B43"/>
    <w:rsid w:val="00336FE0"/>
    <w:rsid w:val="00337080"/>
    <w:rsid w:val="0034427E"/>
    <w:rsid w:val="0035180A"/>
    <w:rsid w:val="00357829"/>
    <w:rsid w:val="003673E8"/>
    <w:rsid w:val="00383CC1"/>
    <w:rsid w:val="003900C9"/>
    <w:rsid w:val="00390C3B"/>
    <w:rsid w:val="00392F2D"/>
    <w:rsid w:val="0039497D"/>
    <w:rsid w:val="003A53AD"/>
    <w:rsid w:val="003B73C4"/>
    <w:rsid w:val="003C3643"/>
    <w:rsid w:val="003C48C6"/>
    <w:rsid w:val="003D1391"/>
    <w:rsid w:val="003D37D8"/>
    <w:rsid w:val="003E0614"/>
    <w:rsid w:val="003E18C1"/>
    <w:rsid w:val="003E4226"/>
    <w:rsid w:val="003F525A"/>
    <w:rsid w:val="004058C3"/>
    <w:rsid w:val="0040606C"/>
    <w:rsid w:val="00407381"/>
    <w:rsid w:val="0041600C"/>
    <w:rsid w:val="00426133"/>
    <w:rsid w:val="00426BE2"/>
    <w:rsid w:val="00435450"/>
    <w:rsid w:val="004358AB"/>
    <w:rsid w:val="004358D1"/>
    <w:rsid w:val="00445976"/>
    <w:rsid w:val="00445D43"/>
    <w:rsid w:val="004546EB"/>
    <w:rsid w:val="00456CC9"/>
    <w:rsid w:val="00460262"/>
    <w:rsid w:val="00482A57"/>
    <w:rsid w:val="00483A2E"/>
    <w:rsid w:val="00495CE4"/>
    <w:rsid w:val="004A1CBA"/>
    <w:rsid w:val="004A53FF"/>
    <w:rsid w:val="004A6362"/>
    <w:rsid w:val="004A7B08"/>
    <w:rsid w:val="004C0E90"/>
    <w:rsid w:val="004C48E6"/>
    <w:rsid w:val="004D7964"/>
    <w:rsid w:val="004E2041"/>
    <w:rsid w:val="004E3777"/>
    <w:rsid w:val="004E46D7"/>
    <w:rsid w:val="004E596B"/>
    <w:rsid w:val="005031FE"/>
    <w:rsid w:val="00504B75"/>
    <w:rsid w:val="00505177"/>
    <w:rsid w:val="00513E7D"/>
    <w:rsid w:val="00527F8F"/>
    <w:rsid w:val="00550B6B"/>
    <w:rsid w:val="005529C0"/>
    <w:rsid w:val="00555756"/>
    <w:rsid w:val="00566B71"/>
    <w:rsid w:val="00572B59"/>
    <w:rsid w:val="005744F0"/>
    <w:rsid w:val="0058015F"/>
    <w:rsid w:val="00580D55"/>
    <w:rsid w:val="00594269"/>
    <w:rsid w:val="005A0256"/>
    <w:rsid w:val="005A3DCC"/>
    <w:rsid w:val="005A58BD"/>
    <w:rsid w:val="005A6BB0"/>
    <w:rsid w:val="005B76BB"/>
    <w:rsid w:val="005C0A79"/>
    <w:rsid w:val="005C58D4"/>
    <w:rsid w:val="005D157A"/>
    <w:rsid w:val="005D28FE"/>
    <w:rsid w:val="005D2E4A"/>
    <w:rsid w:val="005E1F04"/>
    <w:rsid w:val="005E67FB"/>
    <w:rsid w:val="005F2A77"/>
    <w:rsid w:val="005F4619"/>
    <w:rsid w:val="006041F3"/>
    <w:rsid w:val="00605EAB"/>
    <w:rsid w:val="00607338"/>
    <w:rsid w:val="006268BA"/>
    <w:rsid w:val="006304D3"/>
    <w:rsid w:val="00637826"/>
    <w:rsid w:val="00660155"/>
    <w:rsid w:val="006751B7"/>
    <w:rsid w:val="006768BE"/>
    <w:rsid w:val="006843C9"/>
    <w:rsid w:val="00693B3A"/>
    <w:rsid w:val="00693F32"/>
    <w:rsid w:val="006940A0"/>
    <w:rsid w:val="00694458"/>
    <w:rsid w:val="006A4F8A"/>
    <w:rsid w:val="006B14B8"/>
    <w:rsid w:val="006B5C6C"/>
    <w:rsid w:val="006C267E"/>
    <w:rsid w:val="006D04B3"/>
    <w:rsid w:val="006D1D93"/>
    <w:rsid w:val="006D5302"/>
    <w:rsid w:val="006E1EF4"/>
    <w:rsid w:val="007132CB"/>
    <w:rsid w:val="00713576"/>
    <w:rsid w:val="0071634D"/>
    <w:rsid w:val="00736F55"/>
    <w:rsid w:val="00744D1C"/>
    <w:rsid w:val="00746B63"/>
    <w:rsid w:val="00752EC6"/>
    <w:rsid w:val="00754106"/>
    <w:rsid w:val="0075753D"/>
    <w:rsid w:val="00762BCE"/>
    <w:rsid w:val="00766B40"/>
    <w:rsid w:val="007715E1"/>
    <w:rsid w:val="00790127"/>
    <w:rsid w:val="007A3DF2"/>
    <w:rsid w:val="007B2865"/>
    <w:rsid w:val="007C62D8"/>
    <w:rsid w:val="007D4404"/>
    <w:rsid w:val="007E0296"/>
    <w:rsid w:val="007E72BF"/>
    <w:rsid w:val="007E739E"/>
    <w:rsid w:val="007E7884"/>
    <w:rsid w:val="007F4BDC"/>
    <w:rsid w:val="007F5082"/>
    <w:rsid w:val="00801136"/>
    <w:rsid w:val="008055A1"/>
    <w:rsid w:val="008109CD"/>
    <w:rsid w:val="00813AD5"/>
    <w:rsid w:val="00814328"/>
    <w:rsid w:val="0081587E"/>
    <w:rsid w:val="0082000C"/>
    <w:rsid w:val="00822352"/>
    <w:rsid w:val="00822C12"/>
    <w:rsid w:val="0082722E"/>
    <w:rsid w:val="008337B9"/>
    <w:rsid w:val="008351C5"/>
    <w:rsid w:val="00844F02"/>
    <w:rsid w:val="00846667"/>
    <w:rsid w:val="008510E8"/>
    <w:rsid w:val="00852B02"/>
    <w:rsid w:val="008555AD"/>
    <w:rsid w:val="00861B2E"/>
    <w:rsid w:val="008711BB"/>
    <w:rsid w:val="008811AE"/>
    <w:rsid w:val="00885C10"/>
    <w:rsid w:val="00897BDF"/>
    <w:rsid w:val="008A4755"/>
    <w:rsid w:val="008A4EFD"/>
    <w:rsid w:val="008B006F"/>
    <w:rsid w:val="008B2B88"/>
    <w:rsid w:val="008B6169"/>
    <w:rsid w:val="008B7726"/>
    <w:rsid w:val="008C5F41"/>
    <w:rsid w:val="008C7196"/>
    <w:rsid w:val="008D0AB8"/>
    <w:rsid w:val="008E016B"/>
    <w:rsid w:val="008F1414"/>
    <w:rsid w:val="008F6C07"/>
    <w:rsid w:val="008F6EF2"/>
    <w:rsid w:val="00902B7F"/>
    <w:rsid w:val="00910A1D"/>
    <w:rsid w:val="00913E23"/>
    <w:rsid w:val="00913E7F"/>
    <w:rsid w:val="0092028C"/>
    <w:rsid w:val="009260AC"/>
    <w:rsid w:val="00927C85"/>
    <w:rsid w:val="00941A69"/>
    <w:rsid w:val="00944C56"/>
    <w:rsid w:val="00947FD1"/>
    <w:rsid w:val="00952995"/>
    <w:rsid w:val="009547D1"/>
    <w:rsid w:val="009619B3"/>
    <w:rsid w:val="00963077"/>
    <w:rsid w:val="009658D9"/>
    <w:rsid w:val="00971BF7"/>
    <w:rsid w:val="0097623D"/>
    <w:rsid w:val="0097752E"/>
    <w:rsid w:val="00977726"/>
    <w:rsid w:val="00977AD8"/>
    <w:rsid w:val="00980D16"/>
    <w:rsid w:val="00983E27"/>
    <w:rsid w:val="009A080C"/>
    <w:rsid w:val="009B093A"/>
    <w:rsid w:val="009B2FBB"/>
    <w:rsid w:val="009B7576"/>
    <w:rsid w:val="009C0F17"/>
    <w:rsid w:val="009C28F8"/>
    <w:rsid w:val="009C302D"/>
    <w:rsid w:val="009C71A9"/>
    <w:rsid w:val="009D3E1B"/>
    <w:rsid w:val="009E1D3B"/>
    <w:rsid w:val="009F138C"/>
    <w:rsid w:val="00A0318E"/>
    <w:rsid w:val="00A138DB"/>
    <w:rsid w:val="00A27114"/>
    <w:rsid w:val="00A27BC7"/>
    <w:rsid w:val="00A3369B"/>
    <w:rsid w:val="00A43639"/>
    <w:rsid w:val="00A43D0B"/>
    <w:rsid w:val="00A73121"/>
    <w:rsid w:val="00A77600"/>
    <w:rsid w:val="00A87517"/>
    <w:rsid w:val="00A954B2"/>
    <w:rsid w:val="00A9707A"/>
    <w:rsid w:val="00AB4BAE"/>
    <w:rsid w:val="00AC49A8"/>
    <w:rsid w:val="00AD0E56"/>
    <w:rsid w:val="00AD30ED"/>
    <w:rsid w:val="00AE00DB"/>
    <w:rsid w:val="00AE3B6A"/>
    <w:rsid w:val="00B02251"/>
    <w:rsid w:val="00B03149"/>
    <w:rsid w:val="00B06253"/>
    <w:rsid w:val="00B13BC9"/>
    <w:rsid w:val="00B14879"/>
    <w:rsid w:val="00B21C7E"/>
    <w:rsid w:val="00B34B1D"/>
    <w:rsid w:val="00B44C71"/>
    <w:rsid w:val="00B45A95"/>
    <w:rsid w:val="00B50197"/>
    <w:rsid w:val="00B52B54"/>
    <w:rsid w:val="00B54594"/>
    <w:rsid w:val="00B5597F"/>
    <w:rsid w:val="00B635F5"/>
    <w:rsid w:val="00B66D45"/>
    <w:rsid w:val="00B70F2D"/>
    <w:rsid w:val="00B75828"/>
    <w:rsid w:val="00B7693D"/>
    <w:rsid w:val="00B77D3D"/>
    <w:rsid w:val="00B8042E"/>
    <w:rsid w:val="00B908FF"/>
    <w:rsid w:val="00B926E4"/>
    <w:rsid w:val="00B94B8C"/>
    <w:rsid w:val="00B96340"/>
    <w:rsid w:val="00BA60AD"/>
    <w:rsid w:val="00BA6C15"/>
    <w:rsid w:val="00BB37D3"/>
    <w:rsid w:val="00BB65B5"/>
    <w:rsid w:val="00BC0E77"/>
    <w:rsid w:val="00BD4F09"/>
    <w:rsid w:val="00BF50BB"/>
    <w:rsid w:val="00C0537D"/>
    <w:rsid w:val="00C1502B"/>
    <w:rsid w:val="00C2327D"/>
    <w:rsid w:val="00C25977"/>
    <w:rsid w:val="00C2732B"/>
    <w:rsid w:val="00C43CEE"/>
    <w:rsid w:val="00C54C04"/>
    <w:rsid w:val="00C55FF9"/>
    <w:rsid w:val="00C571DB"/>
    <w:rsid w:val="00C826E3"/>
    <w:rsid w:val="00C84F41"/>
    <w:rsid w:val="00C9085F"/>
    <w:rsid w:val="00CA18DD"/>
    <w:rsid w:val="00CA7480"/>
    <w:rsid w:val="00CB107A"/>
    <w:rsid w:val="00CD14EA"/>
    <w:rsid w:val="00CD21F9"/>
    <w:rsid w:val="00CF2783"/>
    <w:rsid w:val="00CF3EEE"/>
    <w:rsid w:val="00CF611A"/>
    <w:rsid w:val="00D22A05"/>
    <w:rsid w:val="00D247E9"/>
    <w:rsid w:val="00D27E94"/>
    <w:rsid w:val="00D31D50"/>
    <w:rsid w:val="00D32131"/>
    <w:rsid w:val="00D340E5"/>
    <w:rsid w:val="00D3481F"/>
    <w:rsid w:val="00D37FE1"/>
    <w:rsid w:val="00D4325C"/>
    <w:rsid w:val="00D433F0"/>
    <w:rsid w:val="00D54747"/>
    <w:rsid w:val="00D56B93"/>
    <w:rsid w:val="00D65CDD"/>
    <w:rsid w:val="00D70D11"/>
    <w:rsid w:val="00D7523F"/>
    <w:rsid w:val="00D81AF8"/>
    <w:rsid w:val="00D875C3"/>
    <w:rsid w:val="00D94C87"/>
    <w:rsid w:val="00DA1EAF"/>
    <w:rsid w:val="00DC576E"/>
    <w:rsid w:val="00DD16A0"/>
    <w:rsid w:val="00DD7625"/>
    <w:rsid w:val="00DE715C"/>
    <w:rsid w:val="00DF0979"/>
    <w:rsid w:val="00DF165F"/>
    <w:rsid w:val="00DF3137"/>
    <w:rsid w:val="00E01282"/>
    <w:rsid w:val="00E0421E"/>
    <w:rsid w:val="00E1088B"/>
    <w:rsid w:val="00E12C1C"/>
    <w:rsid w:val="00E12CD3"/>
    <w:rsid w:val="00E17B7F"/>
    <w:rsid w:val="00E32E02"/>
    <w:rsid w:val="00E33312"/>
    <w:rsid w:val="00E35B9D"/>
    <w:rsid w:val="00E369F7"/>
    <w:rsid w:val="00E374C1"/>
    <w:rsid w:val="00E37BBA"/>
    <w:rsid w:val="00E37D96"/>
    <w:rsid w:val="00E4046C"/>
    <w:rsid w:val="00E42D04"/>
    <w:rsid w:val="00E44C60"/>
    <w:rsid w:val="00E4784D"/>
    <w:rsid w:val="00E55AB7"/>
    <w:rsid w:val="00E6476C"/>
    <w:rsid w:val="00E70FE8"/>
    <w:rsid w:val="00E72D17"/>
    <w:rsid w:val="00E73497"/>
    <w:rsid w:val="00E73AE8"/>
    <w:rsid w:val="00E87B3E"/>
    <w:rsid w:val="00EB252A"/>
    <w:rsid w:val="00EB2A37"/>
    <w:rsid w:val="00EB4EA0"/>
    <w:rsid w:val="00EB6459"/>
    <w:rsid w:val="00EC4D96"/>
    <w:rsid w:val="00ED03C3"/>
    <w:rsid w:val="00ED2485"/>
    <w:rsid w:val="00EE339C"/>
    <w:rsid w:val="00EE5264"/>
    <w:rsid w:val="00EF0B9A"/>
    <w:rsid w:val="00EF0D1D"/>
    <w:rsid w:val="00EF25A1"/>
    <w:rsid w:val="00F06E80"/>
    <w:rsid w:val="00F133F8"/>
    <w:rsid w:val="00F172A2"/>
    <w:rsid w:val="00F20E39"/>
    <w:rsid w:val="00F26D54"/>
    <w:rsid w:val="00F33974"/>
    <w:rsid w:val="00F3444B"/>
    <w:rsid w:val="00F3797C"/>
    <w:rsid w:val="00F40ADF"/>
    <w:rsid w:val="00F64AED"/>
    <w:rsid w:val="00F66C6B"/>
    <w:rsid w:val="00F813AE"/>
    <w:rsid w:val="00F817B3"/>
    <w:rsid w:val="00F84C92"/>
    <w:rsid w:val="00F86A9D"/>
    <w:rsid w:val="00F9565F"/>
    <w:rsid w:val="00FA3419"/>
    <w:rsid w:val="00FB6A4C"/>
    <w:rsid w:val="00FB79D9"/>
    <w:rsid w:val="00FB7DC6"/>
    <w:rsid w:val="00FC7632"/>
    <w:rsid w:val="00FD0D98"/>
    <w:rsid w:val="00FD55F4"/>
    <w:rsid w:val="00FE3B15"/>
    <w:rsid w:val="00FE7561"/>
    <w:rsid w:val="00FF2BAE"/>
    <w:rsid w:val="00FF7F03"/>
    <w:rsid w:val="07293D4B"/>
    <w:rsid w:val="0CA43CE5"/>
    <w:rsid w:val="0DE461AD"/>
    <w:rsid w:val="0F1D116B"/>
    <w:rsid w:val="16302145"/>
    <w:rsid w:val="19E40664"/>
    <w:rsid w:val="19F05074"/>
    <w:rsid w:val="209B6283"/>
    <w:rsid w:val="22FC5850"/>
    <w:rsid w:val="2A4F7540"/>
    <w:rsid w:val="2DC61437"/>
    <w:rsid w:val="2E482324"/>
    <w:rsid w:val="30166D7E"/>
    <w:rsid w:val="32D415FB"/>
    <w:rsid w:val="3D8B21D4"/>
    <w:rsid w:val="3DF633C5"/>
    <w:rsid w:val="430D6F5B"/>
    <w:rsid w:val="488C32A4"/>
    <w:rsid w:val="4C4130DB"/>
    <w:rsid w:val="50D756B5"/>
    <w:rsid w:val="53D17DBD"/>
    <w:rsid w:val="5B4672E2"/>
    <w:rsid w:val="669F5B78"/>
    <w:rsid w:val="67F81964"/>
    <w:rsid w:val="6F565639"/>
    <w:rsid w:val="726405DF"/>
    <w:rsid w:val="751C40B9"/>
    <w:rsid w:val="76BF021D"/>
    <w:rsid w:val="7C3B0389"/>
    <w:rsid w:val="7C660011"/>
    <w:rsid w:val="7D014A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3"/>
      <o:rules v:ext="edit">
        <o:r id="V:Rule1" type="connector" idref="#直接箭头连接符 49">
          <o:proxy start="" idref="#文本框 26" connectloc="2"/>
          <o:proxy end="" idref="#文本框 43" connectloc="0"/>
        </o:r>
        <o:r id="V:Rule2" type="connector" idref="#直接箭头连接符 50">
          <o:proxy start="" idref="#文本框 43" connectloc="2"/>
          <o:proxy end="" idref="#文本框 45" connectloc="0"/>
        </o:r>
        <o:r id="V:Rule3" type="connector" idref="#肘形连接符 55">
          <o:proxy start="" idref="#文本框 46" connectloc="2"/>
          <o:proxy end="" idref="#文本框 47" connectloc="0"/>
        </o:r>
        <o:r id="V:Rule4" type="connector" idref="#肘形连接符 56">
          <o:proxy start="" idref="#文本框 46" connectloc="3"/>
          <o:proxy end="" idref="#文本框 48" connectloc="0"/>
        </o:r>
        <o:r id="V:Rule5" type="connector" idref="#肘形连接符 73">
          <o:proxy start="" idref="#文本框 48" connectloc="2"/>
        </o:r>
        <o:r id="V:Rule6" type="connector" idref="#直接箭头连接符 51"/>
        <o:r id="V:Rule7" type="connector" idref="#_x0000_s307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1"/>
    <w:basedOn w:val="1"/>
    <w:next w:val="1"/>
    <w:link w:val="23"/>
    <w:qFormat/>
    <w:uiPriority w:val="0"/>
    <w:pPr>
      <w:keepNext/>
      <w:numPr>
        <w:ilvl w:val="0"/>
        <w:numId w:val="1"/>
      </w:numPr>
      <w:adjustRightInd/>
      <w:snapToGrid/>
      <w:spacing w:before="240" w:after="60"/>
      <w:outlineLvl w:val="0"/>
    </w:pPr>
    <w:rPr>
      <w:rFonts w:ascii="仿宋" w:hAnsi="仿宋" w:eastAsia="仿宋" w:cs="Times New Roman"/>
      <w:b/>
      <w:snapToGrid w:val="0"/>
      <w:color w:val="000000"/>
      <w:kern w:val="28"/>
      <w:sz w:val="32"/>
      <w:szCs w:val="28"/>
    </w:rPr>
  </w:style>
  <w:style w:type="paragraph" w:styleId="3">
    <w:name w:val="heading 2"/>
    <w:basedOn w:val="1"/>
    <w:next w:val="1"/>
    <w:link w:val="25"/>
    <w:qFormat/>
    <w:uiPriority w:val="0"/>
    <w:pPr>
      <w:keepNext/>
      <w:keepLines/>
      <w:widowControl w:val="0"/>
      <w:numPr>
        <w:ilvl w:val="1"/>
        <w:numId w:val="2"/>
      </w:numPr>
      <w:tabs>
        <w:tab w:val="left" w:pos="432"/>
        <w:tab w:val="left" w:pos="576"/>
      </w:tabs>
      <w:adjustRightInd/>
      <w:snapToGrid/>
      <w:spacing w:before="260" w:after="260" w:line="415" w:lineRule="auto"/>
      <w:jc w:val="both"/>
      <w:outlineLvl w:val="1"/>
    </w:pPr>
    <w:rPr>
      <w:rFonts w:ascii="Arial" w:hAnsi="Arial" w:eastAsia="仿宋" w:cs="Times New Roman"/>
      <w:b/>
      <w:bCs/>
      <w:sz w:val="32"/>
      <w:szCs w:val="32"/>
    </w:rPr>
  </w:style>
  <w:style w:type="paragraph" w:styleId="4">
    <w:name w:val="heading 3"/>
    <w:basedOn w:val="1"/>
    <w:next w:val="1"/>
    <w:link w:val="26"/>
    <w:qFormat/>
    <w:uiPriority w:val="0"/>
    <w:pPr>
      <w:keepNext/>
      <w:keepLines/>
      <w:tabs>
        <w:tab w:val="left" w:pos="5940"/>
      </w:tabs>
      <w:adjustRightInd/>
      <w:snapToGrid/>
      <w:spacing w:beforeLines="50" w:afterLines="50" w:line="0" w:lineRule="atLeast"/>
      <w:outlineLvl w:val="2"/>
    </w:pPr>
    <w:rPr>
      <w:rFonts w:ascii="Times New Roman" w:hAnsi="Times New Roman" w:eastAsia="仿宋" w:cs="Times New Roman"/>
      <w:b/>
      <w:bCs/>
      <w:sz w:val="24"/>
      <w:szCs w:val="24"/>
    </w:rPr>
  </w:style>
  <w:style w:type="paragraph" w:styleId="5">
    <w:name w:val="heading 4"/>
    <w:basedOn w:val="1"/>
    <w:next w:val="1"/>
    <w:link w:val="27"/>
    <w:qFormat/>
    <w:uiPriority w:val="0"/>
    <w:pPr>
      <w:numPr>
        <w:ilvl w:val="0"/>
        <w:numId w:val="3"/>
      </w:numPr>
      <w:spacing w:line="360" w:lineRule="auto"/>
      <w:ind w:firstLine="0"/>
      <w:outlineLvl w:val="3"/>
    </w:pPr>
    <w:rPr>
      <w:rFonts w:ascii="仿宋" w:hAnsi="仿宋" w:eastAsia="仿宋"/>
      <w:color w:val="000000"/>
      <w:sz w:val="28"/>
      <w:szCs w:val="28"/>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uiPriority w:val="99"/>
    <w:pPr>
      <w:ind w:firstLine="420" w:firstLineChars="200"/>
    </w:pPr>
  </w:style>
  <w:style w:type="paragraph" w:styleId="7">
    <w:name w:val="Document Map"/>
    <w:basedOn w:val="1"/>
    <w:link w:val="24"/>
    <w:semiHidden/>
    <w:unhideWhenUsed/>
    <w:qFormat/>
    <w:uiPriority w:val="99"/>
    <w:rPr>
      <w:rFonts w:ascii="宋体" w:eastAsia="宋体"/>
      <w:sz w:val="18"/>
      <w:szCs w:val="18"/>
    </w:rPr>
  </w:style>
  <w:style w:type="paragraph" w:styleId="8">
    <w:name w:val="annotation text"/>
    <w:basedOn w:val="1"/>
    <w:link w:val="32"/>
    <w:semiHidden/>
    <w:unhideWhenUsed/>
    <w:qFormat/>
    <w:uiPriority w:val="99"/>
  </w:style>
  <w:style w:type="paragraph" w:styleId="9">
    <w:name w:val="Body Text"/>
    <w:basedOn w:val="1"/>
    <w:next w:val="10"/>
    <w:qFormat/>
    <w:uiPriority w:val="0"/>
    <w:pPr>
      <w:spacing w:after="120"/>
    </w:pPr>
  </w:style>
  <w:style w:type="paragraph" w:styleId="10">
    <w:name w:val="footer"/>
    <w:basedOn w:val="1"/>
    <w:link w:val="30"/>
    <w:unhideWhenUsed/>
    <w:qFormat/>
    <w:uiPriority w:val="99"/>
    <w:pPr>
      <w:tabs>
        <w:tab w:val="center" w:pos="4153"/>
        <w:tab w:val="right" w:pos="8306"/>
      </w:tabs>
    </w:pPr>
    <w:rPr>
      <w:sz w:val="18"/>
      <w:szCs w:val="18"/>
    </w:rPr>
  </w:style>
  <w:style w:type="paragraph" w:styleId="11">
    <w:name w:val="toc 3"/>
    <w:basedOn w:val="1"/>
    <w:next w:val="1"/>
    <w:unhideWhenUsed/>
    <w:qFormat/>
    <w:uiPriority w:val="39"/>
    <w:pPr>
      <w:ind w:left="840" w:leftChars="400"/>
    </w:pPr>
  </w:style>
  <w:style w:type="paragraph" w:styleId="12">
    <w:name w:val="Balloon Text"/>
    <w:basedOn w:val="1"/>
    <w:link w:val="28"/>
    <w:semiHidden/>
    <w:unhideWhenUsed/>
    <w:qFormat/>
    <w:uiPriority w:val="99"/>
    <w:pPr>
      <w:spacing w:after="0"/>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unhideWhenUsed/>
    <w:qFormat/>
    <w:uiPriority w:val="39"/>
    <w:pPr>
      <w:tabs>
        <w:tab w:val="left" w:pos="420"/>
        <w:tab w:val="right" w:leader="dot" w:pos="8296"/>
      </w:tabs>
    </w:pPr>
  </w:style>
  <w:style w:type="paragraph" w:styleId="15">
    <w:name w:val="footnote text"/>
    <w:basedOn w:val="1"/>
    <w:qFormat/>
    <w:uiPriority w:val="0"/>
    <w:rPr>
      <w:rFonts w:ascii="Times New Roman" w:hAnsi="Times New Roman" w:eastAsia="宋体" w:cs="Times New Roman"/>
    </w:rPr>
  </w:style>
  <w:style w:type="paragraph" w:styleId="16">
    <w:name w:val="toc 2"/>
    <w:basedOn w:val="1"/>
    <w:next w:val="1"/>
    <w:unhideWhenUsed/>
    <w:qFormat/>
    <w:uiPriority w:val="39"/>
    <w:pPr>
      <w:ind w:left="420" w:leftChars="200"/>
    </w:pPr>
  </w:style>
  <w:style w:type="paragraph" w:styleId="17">
    <w:name w:val="annotation subject"/>
    <w:basedOn w:val="8"/>
    <w:next w:val="8"/>
    <w:link w:val="33"/>
    <w:semiHidden/>
    <w:unhideWhenUsed/>
    <w:qFormat/>
    <w:uiPriority w:val="99"/>
    <w:rPr>
      <w:b/>
      <w:bCs/>
    </w:rPr>
  </w:style>
  <w:style w:type="character" w:styleId="20">
    <w:name w:val="Hyperlink"/>
    <w:basedOn w:val="19"/>
    <w:unhideWhenUsed/>
    <w:qFormat/>
    <w:uiPriority w:val="99"/>
    <w:rPr>
      <w:color w:val="0000FF" w:themeColor="hyperlink"/>
      <w:u w:val="single"/>
    </w:rPr>
  </w:style>
  <w:style w:type="character" w:styleId="21">
    <w:name w:val="annotation reference"/>
    <w:basedOn w:val="19"/>
    <w:semiHidden/>
    <w:unhideWhenUsed/>
    <w:qFormat/>
    <w:uiPriority w:val="99"/>
    <w:rPr>
      <w:sz w:val="21"/>
      <w:szCs w:val="21"/>
    </w:rPr>
  </w:style>
  <w:style w:type="paragraph" w:styleId="22">
    <w:name w:val="List Paragraph"/>
    <w:basedOn w:val="1"/>
    <w:qFormat/>
    <w:uiPriority w:val="34"/>
    <w:pPr>
      <w:ind w:firstLine="420" w:firstLineChars="200"/>
    </w:pPr>
  </w:style>
  <w:style w:type="character" w:customStyle="1" w:styleId="23">
    <w:name w:val="标题 1 字符"/>
    <w:basedOn w:val="19"/>
    <w:link w:val="2"/>
    <w:qFormat/>
    <w:uiPriority w:val="0"/>
    <w:rPr>
      <w:rFonts w:ascii="仿宋" w:hAnsi="仿宋" w:eastAsia="仿宋" w:cs="Times New Roman"/>
      <w:b/>
      <w:snapToGrid w:val="0"/>
      <w:color w:val="000000"/>
      <w:kern w:val="28"/>
      <w:sz w:val="32"/>
      <w:szCs w:val="28"/>
    </w:rPr>
  </w:style>
  <w:style w:type="character" w:customStyle="1" w:styleId="24">
    <w:name w:val="文档结构图 字符"/>
    <w:basedOn w:val="19"/>
    <w:link w:val="7"/>
    <w:semiHidden/>
    <w:qFormat/>
    <w:uiPriority w:val="99"/>
    <w:rPr>
      <w:rFonts w:ascii="宋体" w:hAnsi="Tahoma" w:eastAsia="宋体"/>
      <w:sz w:val="18"/>
      <w:szCs w:val="18"/>
    </w:rPr>
  </w:style>
  <w:style w:type="character" w:customStyle="1" w:styleId="25">
    <w:name w:val="标题 2 字符"/>
    <w:basedOn w:val="19"/>
    <w:link w:val="3"/>
    <w:qFormat/>
    <w:uiPriority w:val="0"/>
    <w:rPr>
      <w:rFonts w:ascii="Arial" w:hAnsi="Arial" w:eastAsia="仿宋" w:cs="Times New Roman"/>
      <w:b/>
      <w:bCs/>
      <w:sz w:val="32"/>
      <w:szCs w:val="32"/>
    </w:rPr>
  </w:style>
  <w:style w:type="character" w:customStyle="1" w:styleId="26">
    <w:name w:val="标题 3 字符"/>
    <w:basedOn w:val="19"/>
    <w:link w:val="4"/>
    <w:qFormat/>
    <w:uiPriority w:val="0"/>
    <w:rPr>
      <w:rFonts w:ascii="Times New Roman" w:hAnsi="Times New Roman" w:eastAsia="仿宋" w:cs="Times New Roman"/>
      <w:b/>
      <w:bCs/>
      <w:sz w:val="24"/>
      <w:szCs w:val="24"/>
    </w:rPr>
  </w:style>
  <w:style w:type="character" w:customStyle="1" w:styleId="27">
    <w:name w:val="标题 4 字符"/>
    <w:basedOn w:val="19"/>
    <w:link w:val="5"/>
    <w:qFormat/>
    <w:uiPriority w:val="0"/>
    <w:rPr>
      <w:rFonts w:ascii="仿宋" w:hAnsi="仿宋" w:eastAsia="仿宋"/>
      <w:color w:val="000000"/>
      <w:sz w:val="28"/>
      <w:szCs w:val="28"/>
    </w:rPr>
  </w:style>
  <w:style w:type="character" w:customStyle="1" w:styleId="28">
    <w:name w:val="批注框文本 字符"/>
    <w:basedOn w:val="19"/>
    <w:link w:val="12"/>
    <w:semiHidden/>
    <w:qFormat/>
    <w:uiPriority w:val="99"/>
    <w:rPr>
      <w:rFonts w:ascii="Tahoma" w:hAnsi="Tahoma"/>
      <w:sz w:val="18"/>
      <w:szCs w:val="18"/>
    </w:rPr>
  </w:style>
  <w:style w:type="character" w:customStyle="1" w:styleId="29">
    <w:name w:val="页眉 字符"/>
    <w:basedOn w:val="19"/>
    <w:link w:val="13"/>
    <w:qFormat/>
    <w:uiPriority w:val="99"/>
    <w:rPr>
      <w:rFonts w:ascii="Tahoma" w:hAnsi="Tahoma"/>
      <w:sz w:val="18"/>
      <w:szCs w:val="18"/>
    </w:rPr>
  </w:style>
  <w:style w:type="character" w:customStyle="1" w:styleId="30">
    <w:name w:val="页脚 字符"/>
    <w:basedOn w:val="19"/>
    <w:link w:val="10"/>
    <w:qFormat/>
    <w:uiPriority w:val="99"/>
    <w:rPr>
      <w:rFonts w:ascii="Tahoma" w:hAnsi="Tahoma"/>
      <w:sz w:val="18"/>
      <w:szCs w:val="18"/>
    </w:rPr>
  </w:style>
  <w:style w:type="paragraph" w:customStyle="1" w:styleId="31">
    <w:name w:val="TOC 标题1"/>
    <w:basedOn w:val="2"/>
    <w:next w:val="1"/>
    <w:unhideWhenUsed/>
    <w:qFormat/>
    <w:uiPriority w:val="39"/>
    <w:pPr>
      <w:keepLines/>
      <w:numPr>
        <w:numId w:val="0"/>
      </w:numPr>
      <w:tabs>
        <w:tab w:val="clear" w:pos="432"/>
      </w:tabs>
      <w:spacing w:after="0" w:line="259" w:lineRule="auto"/>
      <w:outlineLvl w:val="9"/>
    </w:pPr>
    <w:rPr>
      <w:rFonts w:asciiTheme="majorHAnsi" w:hAnsiTheme="majorHAnsi" w:eastAsiaTheme="majorEastAsia" w:cstheme="majorBidi"/>
      <w:b w:val="0"/>
      <w:snapToGrid/>
      <w:color w:val="366091" w:themeColor="accent1" w:themeShade="BF"/>
      <w:kern w:val="0"/>
      <w:szCs w:val="32"/>
    </w:rPr>
  </w:style>
  <w:style w:type="character" w:customStyle="1" w:styleId="32">
    <w:name w:val="批注文字 字符"/>
    <w:basedOn w:val="19"/>
    <w:link w:val="8"/>
    <w:semiHidden/>
    <w:qFormat/>
    <w:uiPriority w:val="99"/>
    <w:rPr>
      <w:rFonts w:ascii="Tahoma" w:hAnsi="Tahoma"/>
    </w:rPr>
  </w:style>
  <w:style w:type="character" w:customStyle="1" w:styleId="33">
    <w:name w:val="批注主题 字符"/>
    <w:basedOn w:val="32"/>
    <w:link w:val="17"/>
    <w:semiHidden/>
    <w:qFormat/>
    <w:uiPriority w:val="99"/>
    <w:rPr>
      <w:rFonts w:ascii="Tahoma" w:hAnsi="Tahoma"/>
      <w:b/>
      <w:bCs/>
    </w:rPr>
  </w:style>
  <w:style w:type="paragraph" w:customStyle="1" w:styleId="34">
    <w:name w:val="修订1"/>
    <w:hidden/>
    <w:semiHidden/>
    <w:qFormat/>
    <w:uiPriority w:val="99"/>
    <w:rPr>
      <w:rFonts w:ascii="Tahoma" w:hAnsi="Tahoma" w:eastAsia="微软雅黑"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1635</Words>
  <Characters>1703</Characters>
  <Lines>13</Lines>
  <Paragraphs>3</Paragraphs>
  <TotalTime>8</TotalTime>
  <ScaleCrop>false</ScaleCrop>
  <LinksUpToDate>false</LinksUpToDate>
  <CharactersWithSpaces>1714</CharactersWithSpaces>
  <Application>WPS Office_11.8.2.1127_F1E327BC-269C-435d-A152-05C5408002CA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2008-09-12T01:20:00Z</dcterms:created>
  <dc:creator>Haike-shi</dc:creator>
  <cp:lastModifiedBy>inspur</cp:lastModifiedBy>
  <dcterms:modified xsi:type="dcterms:W3CDTF">2024-12-12T15:37:06Z</dcterms:modified>
  <cp:revision>865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ICV">
    <vt:lpwstr>336BBD22D8604C5A924FFE90D4438EEE</vt:lpwstr>
  </property>
</Properties>
</file>